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0"/>
        <w:jc w:val="center"/>
        <w:spacing w:after="567"/>
        <w:rPr>
          <w:rFonts w:ascii="AvenirNextCyr-Bold" w:hAnsi="AvenirNextCyr-Bold" w:cs="AvenirNextCyr-Bold"/>
          <w:b/>
          <w:bCs/>
          <w:sz w:val="18"/>
          <w:szCs w:val="18"/>
        </w:rPr>
      </w:pPr>
      <w:r>
        <w:rPr>
          <w:b/>
        </w:rPr>
        <mc:AlternateContent>
          <mc:Choice Requires="wpg">
            <w:drawing>
              <wp:anchor xmlns:wp="http://schemas.openxmlformats.org/drawingml/2006/wordprocessingDrawing" distT="0" distB="180340" distL="114300" distR="114300" simplePos="0" relativeHeight="524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115695" cy="539750"/>
                <wp:effectExtent l="0" t="0" r="0" b="0"/>
                <wp:wrapTopAndBottom/>
                <wp:docPr id="1" name="_x0000_s1026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1569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14.2pt;z-index:524288;o:allowoverlap:true;o:allowincell:true;mso-position-horizontal-relative:margin;mso-position-horizontal:center;mso-position-vertical-relative:text;margin-top:0.0pt;mso-position-vertical:absolute;width:87.8pt;height:42.5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AvenirNextCyr-Bold" w:hAnsi="AvenirNextCyr-Bold" w:cs="AvenirNextCyr-Bold"/>
          <w:b/>
          <w:bCs/>
          <w:sz w:val="18"/>
          <w:szCs w:val="18"/>
        </w:rPr>
        <w:t xml:space="preserve">Акционерное общество «Дальневосточная генерирующая компания»</w:t>
      </w:r>
      <w:r>
        <w:rPr>
          <w:rFonts w:ascii="AvenirNextCyr-Bold" w:hAnsi="AvenirNextCyr-Bold" w:cs="AvenirNextCyr-Bold"/>
          <w:b/>
          <w:bCs/>
          <w:sz w:val="18"/>
          <w:szCs w:val="18"/>
        </w:rPr>
      </w:r>
      <w:r/>
    </w:p>
    <w:p>
      <w:pPr>
        <w:pStyle w:val="940"/>
        <w:ind w:left="6372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ind w:left="6372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ind w:left="6372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ind w:left="6381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У Т В Е Р Ж Д Е Н</w:t>
      </w:r>
      <w:r>
        <w:rPr>
          <w:sz w:val="28"/>
          <w:szCs w:val="28"/>
        </w:rPr>
      </w:r>
      <w:r/>
    </w:p>
    <w:p>
      <w:pPr>
        <w:pStyle w:val="940"/>
        <w:ind w:left="6373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приказом № </w:t>
      </w:r>
      <w:r>
        <w:rPr>
          <w:sz w:val="28"/>
          <w:szCs w:val="28"/>
        </w:rPr>
        <w:t xml:space="preserve">50</w:t>
      </w:r>
      <w:r>
        <w:rPr>
          <w:sz w:val="28"/>
          <w:szCs w:val="28"/>
        </w:rPr>
      </w:r>
      <w:r/>
    </w:p>
    <w:p>
      <w:pPr>
        <w:pStyle w:val="940"/>
        <w:ind w:left="6373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23.01.2025</w:t>
      </w:r>
      <w:r>
        <w:rPr>
          <w:sz w:val="28"/>
          <w:szCs w:val="28"/>
        </w:rPr>
      </w:r>
      <w:r/>
    </w:p>
    <w:p>
      <w:pPr>
        <w:pStyle w:val="940"/>
        <w:ind w:right="567"/>
        <w:jc w:val="center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ind w:right="567"/>
        <w:jc w:val="center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ind w:right="567"/>
        <w:jc w:val="center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jc w:val="center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Стандарт организации</w:t>
      </w:r>
      <w:r>
        <w:rPr>
          <w:b/>
          <w:sz w:val="28"/>
          <w:szCs w:val="28"/>
        </w:rPr>
      </w:r>
      <w:r/>
    </w:p>
    <w:p>
      <w:pPr>
        <w:pStyle w:val="940"/>
        <w:jc w:val="center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«Формирование сметной документации»</w:t>
      </w:r>
      <w:r>
        <w:rPr>
          <w:b/>
          <w:sz w:val="28"/>
          <w:szCs w:val="28"/>
        </w:rPr>
      </w:r>
      <w:r/>
    </w:p>
    <w:p>
      <w:pPr>
        <w:pStyle w:val="940"/>
        <w:jc w:val="center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82.4-701-2025</w:t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40"/>
        <w:jc w:val="center"/>
        <w:spacing w:lineRule="auto" w:line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Хабаровск - 2025</w:t>
      </w:r>
      <w:r>
        <w:rPr>
          <w:b/>
          <w:sz w:val="28"/>
          <w:szCs w:val="28"/>
        </w:rPr>
      </w:r>
      <w:r/>
    </w:p>
    <w:p>
      <w:pPr>
        <w:pStyle w:val="940"/>
        <w:rPr>
          <w:sz w:val="28"/>
          <w:szCs w:val="28"/>
        </w:rPr>
        <w:sectPr>
          <w:headerReference w:type="first" r:id="rId9"/>
          <w:footnotePr/>
          <w:endnotePr/>
          <w:type w:val="nextPage"/>
          <w:pgSz w:w="11907" w:h="16840" w:orient="portrait"/>
          <w:pgMar w:top="1134" w:right="567" w:bottom="1134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0"/>
        <w:jc w:val="center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1"/>
        <w:numPr>
          <w:ilvl w:val="0"/>
          <w:numId w:val="0"/>
        </w:numPr>
        <w:ind w:left="360"/>
        <w:jc w:val="center"/>
        <w:rPr>
          <w:rStyle w:val="1072"/>
          <w:b w:val="false"/>
          <w:bCs w:val="false"/>
        </w:rPr>
      </w:pPr>
      <w:r/>
      <w:bookmarkStart w:id="0" w:name="_Toc65588180"/>
      <w:r>
        <w:rPr>
          <w:rStyle w:val="1072"/>
          <w:b w:val="false"/>
          <w:bCs w:val="false"/>
        </w:rPr>
        <w:t xml:space="preserve">СОДЕРЖАНИЕ</w:t>
      </w:r>
      <w:bookmarkEnd w:id="0"/>
      <w:r>
        <w:rPr>
          <w:rStyle w:val="1072"/>
          <w:b w:val="false"/>
          <w:bCs w:val="false"/>
        </w:rPr>
      </w:r>
      <w:r/>
    </w:p>
    <w:p>
      <w:pPr>
        <w:pStyle w:val="940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"_Toc65588180"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СОДЕРЖАНИЕ</w:t>
      </w:r>
      <w:r>
        <w:tab/>
      </w:r>
      <w:r>
        <w:fldChar w:fldCharType="begin"/>
      </w:r>
      <w:r>
        <w:instrText xml:space="preserve"> PAGEREF _Toc65588180 \h </w:instrText>
      </w:r>
      <w:r>
        <w:fldChar w:fldCharType="separate"/>
      </w:r>
      <w:r>
        <w:t xml:space="preserve">2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"_Toc65588181"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1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ОБЛАСТЬ ПРИМЕНЕНИЯ</w:t>
      </w:r>
      <w:r>
        <w:tab/>
      </w:r>
      <w:r>
        <w:fldChar w:fldCharType="begin"/>
      </w:r>
      <w:r>
        <w:instrText xml:space="preserve"> PAGEREF _Toc65588181 \h </w:instrText>
      </w:r>
      <w:r>
        <w:fldChar w:fldCharType="separate"/>
      </w:r>
      <w:r>
        <w:t xml:space="preserve">3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"_Toc65588182"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2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НОРМАТИВНЫЕ ССЫЛКИ</w:t>
      </w:r>
      <w:r>
        <w:tab/>
      </w:r>
      <w:r>
        <w:fldChar w:fldCharType="begin"/>
      </w:r>
      <w:r>
        <w:instrText xml:space="preserve"> PAGEREF _Toc65588182 \h </w:instrText>
      </w:r>
      <w:r>
        <w:fldChar w:fldCharType="separate"/>
      </w:r>
      <w:r>
        <w:t xml:space="preserve">3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"_Toc65588183"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3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ТЕРМИНЫ И ОПРЕДЕЛЕНИЯ</w:t>
      </w:r>
      <w:r>
        <w:tab/>
      </w:r>
      <w:r>
        <w:fldChar w:fldCharType="begin"/>
      </w:r>
      <w:r>
        <w:instrText xml:space="preserve"> PAGEREF _Toc65588183 \h </w:instrText>
      </w:r>
      <w:r>
        <w:fldChar w:fldCharType="separate"/>
      </w:r>
      <w:r>
        <w:t xml:space="preserve">4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"_Toc65588184"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4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ОБОЗНАЧЕНИЯ И СОКРАЩЕНИЯ</w:t>
      </w:r>
      <w:r>
        <w:tab/>
      </w:r>
      <w:r>
        <w:fldChar w:fldCharType="begin"/>
      </w:r>
      <w:r>
        <w:instrText xml:space="preserve"> PAGEREF _Toc65588184 \h </w:instrText>
      </w:r>
      <w:r>
        <w:fldChar w:fldCharType="separate"/>
      </w:r>
      <w:r>
        <w:t xml:space="preserve">6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"_Toc65588185"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5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МЕТОДОЛОГИЯ ФОРМИРОВАНИЯ СМЕТНОЙ ДОКУМЕНТАЦИИ</w:t>
      </w:r>
      <w:r>
        <w:tab/>
      </w:r>
      <w:r>
        <w:fldChar w:fldCharType="begin"/>
      </w:r>
      <w:r>
        <w:instrText xml:space="preserve"> PAGEREF _Toc65588185 \h </w:instrText>
      </w:r>
      <w:r>
        <w:fldChar w:fldCharType="separate"/>
      </w:r>
      <w:r>
        <w:t xml:space="preserve">6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"_Toc65588186"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6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РЕКОМЕНДАЦИИ ПО СОСТАВЛЕНИЮ ТЕХНИЧЕСКИХ ЗАДАНИЙ</w:t>
      </w:r>
      <w:r>
        <w:rPr>
          <w:rStyle w:val="972"/>
        </w:rPr>
        <w:br/>
      </w:r>
      <w:r>
        <w:rPr>
          <w:rStyle w:val="972"/>
        </w:rPr>
        <w:t xml:space="preserve">ПРИ ВЫПОЛНЕНИИ РАБОТ ПОД «КЛЮЧ»</w:t>
      </w:r>
      <w:r>
        <w:tab/>
      </w:r>
      <w:r>
        <w:fldChar w:fldCharType="begin"/>
      </w:r>
      <w:r>
        <w:instrText xml:space="preserve"> PAGEREF _Toc65588186 \h </w:instrText>
      </w:r>
      <w:r>
        <w:fldChar w:fldCharType="separate"/>
      </w:r>
      <w:r>
        <w:t xml:space="preserve">20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  <w:rPr>
          <w:rFonts w:ascii="Calibri" w:hAnsi="Calibri" w:eastAsia="Times New Roman"/>
          <w:sz w:val="22"/>
          <w:lang w:eastAsia="ru-RU"/>
        </w:rPr>
      </w:pPr>
      <w:r>
        <w:rPr>
          <w:rStyle w:val="972"/>
        </w:rPr>
        <w:fldChar w:fldCharType="begin"/>
      </w:r>
      <w:r>
        <w:rPr>
          <w:rStyle w:val="972"/>
        </w:rPr>
        <w:instrText xml:space="preserve"> </w:instrText>
      </w:r>
      <w:r>
        <w:instrText xml:space="preserve">HYPERLINK \l "_Toc65588188"</w:instrText>
      </w:r>
      <w:r>
        <w:rPr>
          <w:rStyle w:val="972"/>
        </w:rPr>
        <w:instrText xml:space="preserve"> </w:instrText>
      </w:r>
      <w:r>
        <w:rPr>
          <w:rStyle w:val="972"/>
        </w:rPr>
        <w:fldChar w:fldCharType="separate"/>
      </w:r>
      <w:r>
        <w:rPr>
          <w:rStyle w:val="972"/>
        </w:rPr>
        <w:t xml:space="preserve">7</w:t>
      </w:r>
      <w:r>
        <w:rPr>
          <w:rFonts w:ascii="Calibri" w:hAnsi="Calibri" w:eastAsia="Times New Roman"/>
          <w:sz w:val="22"/>
          <w:lang w:eastAsia="ru-RU"/>
        </w:rPr>
        <w:tab/>
      </w:r>
      <w:r>
        <w:rPr>
          <w:rStyle w:val="972"/>
        </w:rPr>
        <w:t xml:space="preserve">ХРАНЕНИЕ И АКТУАЛИЗАЦИЯ ДОКУМЕНТА</w:t>
      </w:r>
      <w:r>
        <w:tab/>
      </w:r>
      <w:r>
        <w:fldChar w:fldCharType="begin"/>
      </w:r>
      <w:r>
        <w:instrText xml:space="preserve"> PAGEREF _Toc65588188 \h </w:instrText>
      </w:r>
      <w:r>
        <w:fldChar w:fldCharType="separate"/>
      </w:r>
      <w:r>
        <w:t xml:space="preserve">22</w:t>
      </w:r>
      <w:r>
        <w:fldChar w:fldCharType="end"/>
      </w:r>
      <w:r>
        <w:rPr>
          <w:rStyle w:val="972"/>
        </w:rPr>
        <w:fldChar w:fldCharType="end"/>
      </w:r>
      <w:r>
        <w:rPr>
          <w:rFonts w:ascii="Calibri" w:hAnsi="Calibri" w:eastAsia="Times New Roman"/>
          <w:sz w:val="22"/>
          <w:lang w:eastAsia="ru-RU"/>
        </w:rPr>
      </w:r>
      <w:r/>
    </w:p>
    <w:p>
      <w:pPr>
        <w:pStyle w:val="970"/>
      </w:pPr>
      <w:r>
        <w:fldChar w:fldCharType="end"/>
      </w:r>
      <w:r/>
    </w:p>
    <w:p>
      <w:pPr>
        <w:pStyle w:val="941"/>
        <w:jc w:val="center"/>
      </w:pPr>
      <w:r>
        <w:br w:type="page"/>
      </w:r>
      <w:bookmarkStart w:id="1" w:name="_Toc65588181"/>
      <w:r>
        <w:t xml:space="preserve">ОБЛАСТЬ ПРИМЕНЕНИЯ</w:t>
      </w:r>
      <w:bookmarkEnd w:id="1"/>
      <w:r/>
      <w:r/>
    </w:p>
    <w:p>
      <w:pPr>
        <w:pStyle w:val="950"/>
        <w:numPr>
          <w:ilvl w:val="0"/>
          <w:numId w:val="19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стандарт</w:t>
      </w:r>
      <w:r>
        <w:rPr>
          <w:sz w:val="28"/>
          <w:szCs w:val="28"/>
        </w:rPr>
        <w:t xml:space="preserve"> определяет</w:t>
      </w:r>
      <w:r>
        <w:rPr>
          <w:sz w:val="28"/>
          <w:szCs w:val="28"/>
        </w:rPr>
        <w:t xml:space="preserve"> порядок </w:t>
      </w:r>
      <w:r>
        <w:rPr>
          <w:sz w:val="28"/>
          <w:szCs w:val="28"/>
        </w:rPr>
        <w:t xml:space="preserve">формирования</w:t>
      </w:r>
      <w:r>
        <w:rPr>
          <w:sz w:val="28"/>
          <w:szCs w:val="28"/>
        </w:rPr>
        <w:t xml:space="preserve"> и экспертизы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сметной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окументации</w:t>
      </w:r>
      <w:r>
        <w:rPr>
          <w:sz w:val="28"/>
          <w:szCs w:val="28"/>
        </w:rPr>
        <w:t xml:space="preserve"> на этапах планирования и реализации </w:t>
      </w:r>
      <w:r>
        <w:rPr>
          <w:sz w:val="28"/>
          <w:szCs w:val="28"/>
        </w:rPr>
        <w:t xml:space="preserve">мероприятий 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ехнического обслуживания и ремонт</w:t>
      </w:r>
      <w:r>
        <w:rPr>
          <w:sz w:val="28"/>
          <w:szCs w:val="28"/>
        </w:rPr>
        <w:t xml:space="preserve">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</w:t>
      </w:r>
      <w:r>
        <w:rPr>
          <w:sz w:val="28"/>
          <w:szCs w:val="28"/>
        </w:rPr>
        <w:t xml:space="preserve">хнического перевооружения и реконструкции</w:t>
      </w:r>
      <w:r>
        <w:rPr>
          <w:sz w:val="28"/>
          <w:szCs w:val="28"/>
        </w:rPr>
        <w:t xml:space="preserve">, нового строительства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объектах АО «Дальневосточная генерирующая компания» </w:t>
      </w:r>
      <w:r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АО «ДГК») </w:t>
      </w:r>
      <w:r>
        <w:rPr>
          <w:sz w:val="28"/>
          <w:szCs w:val="28"/>
        </w:rPr>
        <w:t xml:space="preserve">(кроме крупных инвестиционных проектов, </w:t>
      </w:r>
      <w:r>
        <w:rPr>
          <w:sz w:val="28"/>
          <w:szCs w:val="28"/>
        </w:rPr>
        <w:t xml:space="preserve">находящихся в зоне ответственности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АО «</w:t>
      </w:r>
      <w:r>
        <w:rPr>
          <w:sz w:val="28"/>
          <w:szCs w:val="28"/>
        </w:rPr>
        <w:t xml:space="preserve">РусГидро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подлежит применению всеми структурными подразделениями </w:t>
      </w:r>
      <w:r>
        <w:rPr>
          <w:sz w:val="28"/>
          <w:szCs w:val="28"/>
        </w:rPr>
        <w:t xml:space="preserve">АО «ДГК»</w:t>
      </w:r>
      <w:r>
        <w:rPr>
          <w:sz w:val="28"/>
          <w:szCs w:val="28"/>
        </w:rPr>
        <w:t xml:space="preserve"> при осуществлении указанной деятельности</w:t>
      </w:r>
      <w:r>
        <w:rPr>
          <w:sz w:val="28"/>
          <w:szCs w:val="28"/>
        </w:rPr>
        <w:t xml:space="preserve"> на стадии формирования и согласования сметной документации.</w:t>
      </w:r>
      <w:r>
        <w:rPr>
          <w:sz w:val="28"/>
          <w:szCs w:val="28"/>
        </w:rPr>
      </w:r>
      <w:r/>
    </w:p>
    <w:p>
      <w:pPr>
        <w:pStyle w:val="941"/>
        <w:jc w:val="center"/>
      </w:pPr>
      <w:r/>
      <w:bookmarkStart w:id="2" w:name="_Toc65588182"/>
      <w:r>
        <w:t xml:space="preserve">НОРМАТИВНЫЕ ССЫЛКИ</w:t>
      </w:r>
      <w:bookmarkEnd w:id="2"/>
      <w:r/>
      <w:r/>
    </w:p>
    <w:p>
      <w:pPr>
        <w:pStyle w:val="940"/>
        <w:ind w:firstLine="567"/>
        <w:spacing w:lineRule="auto" w: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настоящем стандарте использованы ссылки на следующие нормативные документы:</w:t>
      </w:r>
      <w:r>
        <w:rPr>
          <w:color w:val="000000"/>
          <w:sz w:val="28"/>
          <w:szCs w:val="28"/>
        </w:rPr>
      </w:r>
      <w:r/>
    </w:p>
    <w:tbl>
      <w:tblPr>
        <w:tblW w:w="10314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261"/>
        <w:gridCol w:w="6378"/>
      </w:tblGrid>
      <w:tr>
        <w:trPr>
          <w:trHeight w:val="383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Cs/>
              </w:rPr>
              <w:t xml:space="preserve">№ п/п</w:t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Cs/>
              </w:rPr>
              <w:t xml:space="preserve">Об</w:t>
            </w:r>
            <w:r>
              <w:rPr>
                <w:bCs/>
              </w:rPr>
              <w:t xml:space="preserve">означение документа</w:t>
            </w:r>
            <w:r/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Cs/>
              </w:rPr>
              <w:t xml:space="preserve">Наи</w:t>
            </w:r>
            <w:r>
              <w:rPr>
                <w:bCs/>
              </w:rPr>
              <w:t xml:space="preserve">менование документа</w:t>
            </w:r>
            <w:r/>
          </w:p>
        </w:tc>
      </w:tr>
      <w:tr>
        <w:trPr>
          <w:trHeight w:val="86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1</w:t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rPr>
                <w:highlight w:val="yellow"/>
              </w:rPr>
            </w:pPr>
            <w:r>
              <w:t xml:space="preserve">Методика 421/пр </w:t>
            </w:r>
            <w:r>
              <w:rPr>
                <w:highlight w:val="yellow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Методика определения с</w:t>
            </w:r>
            <w:r>
              <w:rPr>
                <w:sz w:val="24"/>
                <w:szCs w:val="24"/>
              </w:rPr>
              <w:t xml:space="preserve">метной стоимости ст</w:t>
            </w:r>
            <w:r>
              <w:rPr>
                <w:sz w:val="24"/>
                <w:szCs w:val="24"/>
              </w:rPr>
              <w:t xml:space="preserve">роительства, реконструкции, капитального ремонта, сноса объектов культурного наследия народов Российской Федерации на территории Российской Федерации, утвержденной приказом Министерства строительства и ЖКХ РФ от 04 августа 2020г №421/пр с учетом дополнений</w:t>
            </w: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trHeight w:val="86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2</w:t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rPr>
                <w:highlight w:val="yellow"/>
              </w:rPr>
            </w:pPr>
            <w:r>
              <w:t xml:space="preserve">ФСНБ</w:t>
            </w:r>
            <w:r>
              <w:rPr>
                <w:highlight w:val="yellow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Федеральная</w:t>
            </w:r>
            <w:r>
              <w:rPr>
                <w:sz w:val="24"/>
                <w:szCs w:val="24"/>
              </w:rPr>
              <w:t xml:space="preserve"> сметно-нормативная база </w:t>
            </w:r>
            <w:r>
              <w:rPr>
                <w:sz w:val="24"/>
                <w:szCs w:val="24"/>
              </w:rPr>
              <w:t xml:space="preserve">актуальной редакции</w:t>
            </w: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trHeight w:val="865"/>
        </w:trPr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3</w:t>
            </w:r>
            <w:r/>
          </w:p>
        </w:tc>
        <w:tc>
          <w:tcPr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jc w:val="left"/>
            </w:pPr>
            <w:r>
              <w:t xml:space="preserve">ФГИС ЦС</w:t>
            </w:r>
            <w:r/>
          </w:p>
        </w:tc>
        <w:tc>
          <w:tcPr>
            <w:tcW w:w="6378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Федеральная государственная информационная система ценообразования в строительстве (</w:t>
            </w:r>
            <w:hyperlink r:id="rId13" w:tooltip="https://fgiscs.minstroyrf.ru/#/" w:anchor="/" w:history="1">
              <w:r>
                <w:rPr>
                  <w:rStyle w:val="922"/>
                  <w:rFonts w:ascii="Times New Roman" w:hAnsi="Times New Roman" w:cs="Times New Roman" w:eastAsia="Times New Roman"/>
                  <w:sz w:val="24"/>
                  <w:szCs w:val="24"/>
                </w:rPr>
                <w:t xml:space="preserve">https://fgiscs.minstroyrf.ru/#/</w:t>
              </w:r>
            </w:hyperlink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6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4</w:t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</w:pPr>
            <w:r>
              <w:t xml:space="preserve">Систематизированный обзор</w:t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Систематизированный обзор разъяснений по вопросам применен</w:t>
            </w:r>
            <w:r>
              <w:rPr>
                <w:sz w:val="24"/>
                <w:szCs w:val="24"/>
              </w:rPr>
              <w:t xml:space="preserve">ия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техперевооружению», составленный на основании запросов энергообъединений, электростанций и ремонтных предприятий.</w:t>
            </w: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trHeight w:val="1275"/>
        </w:trPr>
        <w:tc>
          <w:tcPr>
            <w:tcBorders>
              <w:bottom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</w:pPr>
            <w:r>
              <w:rPr>
                <w:bCs/>
                <w:iCs/>
                <w:sz w:val="24"/>
                <w:szCs w:val="24"/>
              </w:rPr>
              <w:t xml:space="preserve">БЦ-2003</w:t>
            </w:r>
            <w:r/>
          </w:p>
        </w:tc>
        <w:tc>
          <w:tcPr>
            <w:tcBorders>
              <w:bottom w:val="single" w:color="000000" w:sz="4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940"/>
            </w:pPr>
            <w:r>
              <w:rPr>
                <w:sz w:val="24"/>
                <w:szCs w:val="24"/>
              </w:rPr>
              <w:t xml:space="preserve">Справочник «Баз</w:t>
            </w:r>
            <w:r>
              <w:rPr>
                <w:sz w:val="24"/>
                <w:szCs w:val="24"/>
              </w:rPr>
              <w:t xml:space="preserve">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Энергоремонт», введенный в действие с 01.01.2004) с изм 1-12. </w:t>
            </w:r>
            <w:r/>
          </w:p>
        </w:tc>
      </w:tr>
      <w:tr>
        <w:trPr>
          <w:trHeight w:val="865"/>
        </w:trPr>
        <w:tc>
          <w:tcPr>
            <w:tcBorders>
              <w:bottom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</w:pPr>
            <w: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</w:pPr>
            <w:r>
              <w:rPr>
                <w:bCs/>
                <w:iCs/>
                <w:sz w:val="24"/>
                <w:szCs w:val="24"/>
              </w:rPr>
              <w:t xml:space="preserve">Трудоемкость к БЦ-2003</w:t>
            </w:r>
            <w:r/>
          </w:p>
        </w:tc>
        <w:tc>
          <w:tcPr>
            <w:tcBorders>
              <w:bottom w:val="single" w:color="000000" w:sz="4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940"/>
            </w:pPr>
            <w:r>
              <w:rPr>
                <w:sz w:val="24"/>
                <w:szCs w:val="24"/>
              </w:rPr>
              <w:t xml:space="preserve">Справочник «Трудоемкость к «Базовым ценам на ремонт», (разработанный ОАО «Центральное конструкторское бюро Энергоремонт», согласованный Министерством Энергетики РФ) и все дополнения к нему. </w:t>
            </w:r>
            <w:r/>
          </w:p>
        </w:tc>
      </w:tr>
    </w:tbl>
    <w:p>
      <w:pPr>
        <w:pStyle w:val="940"/>
      </w:pPr>
      <w:r/>
      <w:r/>
    </w:p>
    <w:p>
      <w:pPr>
        <w:pStyle w:val="941"/>
        <w:ind w:left="0" w:firstLine="0"/>
        <w:jc w:val="center"/>
        <w:spacing w:before="200"/>
      </w:pPr>
      <w:r/>
      <w:bookmarkStart w:id="3" w:name="_Toc65588183"/>
      <w:r>
        <w:t xml:space="preserve">ТЕРМИНЫ И ОПРЕДЕЛЕНИЯ</w:t>
      </w:r>
      <w:bookmarkEnd w:id="3"/>
      <w:r/>
      <w:r/>
    </w:p>
    <w:p>
      <w:pPr>
        <w:pStyle w:val="940"/>
        <w:ind w:firstLine="567"/>
        <w:spacing w:lineRule="auto" w: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настоящем стандарте использованы следующие термины и определения:</w:t>
      </w:r>
      <w:r>
        <w:rPr>
          <w:color w:val="000000"/>
          <w:sz w:val="28"/>
          <w:szCs w:val="28"/>
        </w:rPr>
      </w:r>
      <w:r/>
    </w:p>
    <w:tbl>
      <w:tblPr>
        <w:tblW w:w="10314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261"/>
        <w:gridCol w:w="6378"/>
      </w:tblGrid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Термин</w:t>
            </w: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Расшифровка термина</w:t>
            </w:r>
            <w:r>
              <w:rPr>
                <w:bCs/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Базисно-индексный метод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</w:t>
            </w:r>
            <w:r>
              <w:rPr>
                <w:sz w:val="24"/>
                <w:szCs w:val="24"/>
              </w:rPr>
              <w:t xml:space="preserve">етод определения стоимости строительства, основанный на использовании системы текущи</w:t>
            </w:r>
            <w:r>
              <w:rPr>
                <w:sz w:val="24"/>
                <w:szCs w:val="24"/>
              </w:rPr>
              <w:t xml:space="preserve">х и прогнозных индексов по отношению к показателям стоимости, определенным в базисном уровне цен. Сметная документация составляется с применением базисного уровня цен и цен, сложившихся ко времени ее составления (с указанием месяца и года ее составления). 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81"/>
        </w:trPr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Ресурсно-индексный метод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</w:t>
            </w:r>
            <w:r>
              <w:t xml:space="preserve">с использов</w:t>
            </w:r>
            <w:r>
              <w:t xml:space="preserve">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Базисный уровень стоимости</w:t>
            </w:r>
            <w:r>
              <w:rPr>
                <w:bCs/>
                <w:iCs/>
                <w:sz w:val="24"/>
                <w:szCs w:val="24"/>
              </w:rPr>
            </w:r>
            <w:r/>
          </w:p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(с</w:t>
            </w:r>
            <w:r>
              <w:rPr>
                <w:bCs/>
                <w:iCs/>
                <w:sz w:val="24"/>
                <w:szCs w:val="24"/>
              </w:rPr>
              <w:t xml:space="preserve">тоимость в базисных ценах</w:t>
            </w:r>
            <w:r>
              <w:rPr>
                <w:bCs/>
                <w:i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</w:t>
            </w:r>
            <w:r>
              <w:rPr>
                <w:sz w:val="24"/>
                <w:szCs w:val="24"/>
              </w:rPr>
              <w:t xml:space="preserve">ровень стоимости, определяемый на основе сметных цен, зафиксированных на конкретную дату. Базисный уровень стоимости предназначен для определения стоимости в текущих ценах с использованием индексов пересчета и экономического анализа.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21"/>
        </w:trPr>
        <w:tc>
          <w:tcPr>
            <w:tcBorders>
              <w:top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Профильная служба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Служба</w:t>
            </w:r>
            <w:r>
              <w:rPr>
                <w:sz w:val="24"/>
                <w:szCs w:val="24"/>
              </w:rPr>
              <w:t xml:space="preserve"> (отдел)</w:t>
            </w:r>
            <w:r>
              <w:rPr>
                <w:sz w:val="24"/>
                <w:szCs w:val="24"/>
              </w:rPr>
              <w:t xml:space="preserve">, курирующая выполнение работ и услуг, учтенных в ГКПЗ.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Индекс перевода в текущие цены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тношени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текущих/прогнозных стоимостн</w:t>
            </w:r>
            <w:r>
              <w:rPr>
                <w:sz w:val="24"/>
                <w:szCs w:val="24"/>
              </w:rPr>
              <w:t xml:space="preserve">ых показателей к базисным ценам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(Для БЦ-2003: поправочный индекс к базовым ценам</w:t>
            </w:r>
            <w:r>
              <w:rPr>
                <w:sz w:val="24"/>
                <w:szCs w:val="24"/>
              </w:rPr>
              <w:t xml:space="preserve">, не превышающий значения, установл</w:t>
            </w:r>
            <w:r>
              <w:rPr>
                <w:sz w:val="24"/>
                <w:szCs w:val="24"/>
              </w:rPr>
              <w:t xml:space="preserve">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приказом </w:t>
            </w: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ля </w:t>
            </w:r>
            <w:r>
              <w:rPr>
                <w:sz w:val="24"/>
                <w:szCs w:val="24"/>
              </w:rPr>
              <w:t xml:space="preserve">ФЕР</w:t>
            </w:r>
            <w:r>
              <w:rPr>
                <w:sz w:val="24"/>
                <w:szCs w:val="24"/>
              </w:rPr>
              <w:t xml:space="preserve">: инд</w:t>
            </w:r>
            <w:r>
              <w:rPr>
                <w:sz w:val="24"/>
                <w:szCs w:val="24"/>
              </w:rPr>
              <w:t xml:space="preserve">екс изменения сметной стоимости по статьям затрат на основании данных </w:t>
            </w:r>
            <w:r>
              <w:rPr>
                <w:sz w:val="24"/>
                <w:szCs w:val="24"/>
              </w:rPr>
              <w:t xml:space="preserve">РЦЦС</w:t>
            </w:r>
            <w:r>
              <w:rPr>
                <w:sz w:val="24"/>
                <w:szCs w:val="24"/>
              </w:rPr>
              <w:t xml:space="preserve"> региона строительства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или на основании данных Министерства строительства и ЖКХ РФ.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Калькуляция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затрат в стоимостной (денежной) форме на производство единицы или группы единиц изделий, или на отдельные виды производств.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Локальны</w:t>
            </w:r>
            <w:r>
              <w:rPr>
                <w:bCs/>
                <w:iCs/>
                <w:sz w:val="24"/>
                <w:szCs w:val="24"/>
              </w:rPr>
              <w:t xml:space="preserve">й</w:t>
            </w:r>
            <w:r>
              <w:rPr>
                <w:bCs/>
                <w:iCs/>
                <w:sz w:val="24"/>
                <w:szCs w:val="24"/>
              </w:rPr>
              <w:t xml:space="preserve"> сметны</w:t>
            </w:r>
            <w:r>
              <w:rPr>
                <w:bCs/>
                <w:iCs/>
                <w:sz w:val="24"/>
                <w:szCs w:val="24"/>
              </w:rPr>
              <w:t xml:space="preserve">й</w:t>
            </w:r>
            <w:r>
              <w:rPr>
                <w:bCs/>
                <w:iCs/>
                <w:sz w:val="24"/>
                <w:szCs w:val="24"/>
              </w:rPr>
              <w:t xml:space="preserve"> расчет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ервичный сметный</w:t>
            </w:r>
            <w:r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 xml:space="preserve">, который составляе</w:t>
            </w:r>
            <w:r>
              <w:rPr>
                <w:sz w:val="24"/>
                <w:szCs w:val="24"/>
              </w:rPr>
              <w:t xml:space="preserve">тся в случаях, когда объемы работ и размеры </w:t>
            </w:r>
            <w:r>
              <w:rPr>
                <w:sz w:val="24"/>
                <w:szCs w:val="24"/>
              </w:rPr>
              <w:t xml:space="preserve">затрат окончательно не определены и подлежат уточнению на основании рабочей документации, или в случаях, когда объемы работ, характер и методы их выполнения не могут быть достаточно точно определены при проектировании и уточняются в процессе строительства.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Локальная смета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ервичный сметный документ, который</w:t>
            </w:r>
            <w:r>
              <w:rPr>
                <w:sz w:val="24"/>
                <w:szCs w:val="24"/>
              </w:rPr>
              <w:t xml:space="preserve"> составля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тся на отдельные виды работ и затрат по зданиям и сооружениям или по общеплощадочным работам на основе объемов, определившихся при разработке рабочей документации.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Объектный сметный расчет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метный документ, объединяющий</w:t>
            </w:r>
            <w:r>
              <w:rPr>
                <w:sz w:val="24"/>
                <w:szCs w:val="24"/>
              </w:rPr>
              <w:t xml:space="preserve"> в своем составе на объект в целом данные из локальных сметных расчетов и локальных смет и подлежащие уточнению, как правило, на основе рабочей документации.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Объектная</w:t>
            </w:r>
            <w:r>
              <w:rPr>
                <w:bCs/>
                <w:iCs/>
                <w:sz w:val="24"/>
                <w:szCs w:val="24"/>
              </w:rPr>
              <w:t xml:space="preserve"> смет</w:t>
            </w:r>
            <w:r>
              <w:rPr>
                <w:bCs/>
                <w:iCs/>
                <w:sz w:val="24"/>
                <w:szCs w:val="24"/>
              </w:rPr>
              <w:t xml:space="preserve">а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метный</w:t>
            </w:r>
            <w:r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 xml:space="preserve">, объединяющий</w:t>
            </w:r>
            <w:r>
              <w:rPr>
                <w:sz w:val="24"/>
                <w:szCs w:val="24"/>
              </w:rPr>
              <w:t xml:space="preserve"> в своем составе на объект в целом дан</w:t>
            </w:r>
            <w:r>
              <w:rPr>
                <w:sz w:val="24"/>
                <w:szCs w:val="24"/>
              </w:rPr>
              <w:t xml:space="preserve">ные из локальных смет и являющий</w:t>
            </w:r>
            <w:r>
              <w:rPr>
                <w:sz w:val="24"/>
                <w:szCs w:val="24"/>
              </w:rPr>
              <w:t xml:space="preserve">ся основой формирования договорных цен на объекты строительства.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Прогнозный уровень стоимости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</w:t>
            </w:r>
            <w:r>
              <w:rPr>
                <w:sz w:val="24"/>
                <w:szCs w:val="24"/>
              </w:rPr>
              <w:t xml:space="preserve">ровень стоимости, определяемый на основе цен, которые прогнозируются на будущий период, когда намечается осуществлять расчеты за выполненные работы.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Сводный сметный расчет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Сметный документ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составленный на основе объектных сметных расчетов, объектных смет и сметных расчетов на отдельные виды затрат. Составляется по форме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приведенной в приложении </w:t>
            </w:r>
            <w:r>
              <w:rPr>
                <w:sz w:val="24"/>
                <w:szCs w:val="24"/>
              </w:rPr>
              <w:t xml:space="preserve">№6 Методики определения стоимости строительства, утвержденной приказом Министерства строительства и ЖКХ РФ от 04.082020 №421/пр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Сметная документация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овокупность расчетов, составленных с применением сметных нормативов, представленных в виде </w:t>
            </w:r>
            <w:r>
              <w:rPr>
                <w:sz w:val="24"/>
                <w:szCs w:val="24"/>
              </w:rPr>
              <w:t xml:space="preserve">калькуляций</w:t>
            </w:r>
            <w:r>
              <w:rPr>
                <w:sz w:val="24"/>
                <w:szCs w:val="24"/>
              </w:rPr>
              <w:t xml:space="preserve">, сводного сметного расчета</w:t>
            </w:r>
            <w:r>
              <w:rPr>
                <w:sz w:val="24"/>
                <w:szCs w:val="24"/>
              </w:rPr>
              <w:t xml:space="preserve">, объектных и локальных сметных расчетов, сметных расчетов на отдельные виды работ и затрат.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Сметная стоимость строительства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оказатель потребности в денежных средствах, необходимых для осуществления объекта строительства</w:t>
            </w:r>
            <w:r>
              <w:rPr>
                <w:sz w:val="24"/>
                <w:szCs w:val="24"/>
              </w:rPr>
              <w:t xml:space="preserve"> ( ремонта, ТПиР)</w:t>
            </w:r>
            <w:r>
              <w:rPr>
                <w:sz w:val="24"/>
                <w:szCs w:val="24"/>
              </w:rPr>
              <w:t xml:space="preserve">, определяемый расчетным путем в сметной документации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Сметные нормативы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сметных норм, расценок и цен, объединяемых в отдельные сборники. Вместе с правилами и приложениями, содержащими в себе необходимые требования, они служат основой для определения сметной стоимости.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Сметные нормы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оличественные и (или) стоимостные показатели финансовых и материальных ресурсов, в том числе затрат труда рабочих и времени эксплуатации машин и механизмов (далее ресурсы), установленные на соответствующую единицу измерения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Федеральный реестр сметных нормативов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реестр сметных нормативов (ФРСН) – это открытая единая база сметных нормативов, используемых при составлении сметной документации для объектов капитального строительства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866"/>
        </w:trPr>
        <w:tc>
          <w:tcPr>
            <w:tcBorders>
              <w:bottom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Текущий уровень стоимости</w:t>
            </w:r>
            <w:r>
              <w:rPr>
                <w:bCs/>
                <w:iCs/>
                <w:sz w:val="24"/>
                <w:szCs w:val="24"/>
              </w:rPr>
            </w:r>
            <w:r/>
          </w:p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(с</w:t>
            </w:r>
            <w:r>
              <w:rPr>
                <w:bCs/>
                <w:iCs/>
                <w:sz w:val="24"/>
                <w:szCs w:val="24"/>
              </w:rPr>
              <w:t xml:space="preserve">тоимость в текущих ценах</w:t>
            </w:r>
            <w:r>
              <w:rPr>
                <w:bCs/>
                <w:i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</w:t>
            </w:r>
            <w:r>
              <w:rPr>
                <w:sz w:val="24"/>
                <w:szCs w:val="24"/>
              </w:rPr>
              <w:t xml:space="preserve">ровень стоимости, определенный на основе цен, действующих на момент составления сметной документации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72"/>
        </w:trPr>
        <w:tc>
          <w:tcPr>
            <w:tcBorders>
              <w:top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1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Ценообразующие факторы</w:t>
            </w:r>
            <w:r>
              <w:rPr>
                <w:bCs/>
                <w:i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Параметры, влияющие на определение стоимости работ в смете, включая индексы перевода в текущие цены, понижающий коэффициент по итогам </w:t>
            </w:r>
            <w:r>
              <w:rPr>
                <w:sz w:val="24"/>
                <w:szCs w:val="24"/>
              </w:rPr>
              <w:t xml:space="preserve">конкурентной процедуры</w:t>
            </w:r>
            <w:r>
              <w:rPr>
                <w:sz w:val="24"/>
                <w:szCs w:val="24"/>
              </w:rPr>
              <w:t xml:space="preserve">, коэффициенты, учитывающие усложняющие факторы, стоимость материалов и оборудования и т.д.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940"/>
      </w:pPr>
      <w:r/>
      <w:r/>
    </w:p>
    <w:p>
      <w:pPr>
        <w:pStyle w:val="941"/>
        <w:ind w:left="0" w:firstLine="0"/>
        <w:jc w:val="center"/>
        <w:spacing w:before="200"/>
      </w:pPr>
      <w:r/>
      <w:bookmarkStart w:id="4" w:name="_Toc65588184"/>
      <w:r>
        <w:t xml:space="preserve">ОБОЗНАЧЕНИЯ И СОКРАЩЕНИЯ</w:t>
      </w:r>
      <w:bookmarkEnd w:id="4"/>
      <w:r/>
      <w:r/>
    </w:p>
    <w:p>
      <w:pPr>
        <w:pStyle w:val="940"/>
        <w:ind w:firstLine="567"/>
        <w:spacing w:lineRule="auto" w:line="360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В настоящем стандарте использованы следующие обозначения и сокращения:</w:t>
      </w:r>
      <w:r>
        <w:rPr>
          <w:color w:val="000000"/>
          <w:sz w:val="28"/>
          <w:szCs w:val="24"/>
        </w:rPr>
      </w:r>
      <w:r/>
    </w:p>
    <w:tbl>
      <w:tblPr>
        <w:tblW w:w="10348" w:type="dxa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6378"/>
      </w:tblGrid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Сокращение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pStyle w:val="94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БЦ-2003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цены на ремонт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ФССЦ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сборник сметных цен на материалы, изделия и конструкции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shd w:val="clear" w:color="FFFFFF" w:fill="FFFFFF" w:themeFill="background1" w:themeColor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shd w:val="clear" w:color="FFFFFF" w:fill="FFFFFF" w:themeFill="background1" w:themeColor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ФС</w:t>
            </w:r>
            <w:r>
              <w:rPr>
                <w:sz w:val="24"/>
                <w:szCs w:val="24"/>
                <w:highlight w:val="white"/>
              </w:rPr>
              <w:t xml:space="preserve">Б</w:t>
            </w:r>
            <w:r>
              <w:rPr>
                <w:sz w:val="24"/>
                <w:szCs w:val="24"/>
                <w:highlight w:val="white"/>
              </w:rPr>
              <w:t xml:space="preserve">Ц</w:t>
            </w:r>
            <w:r>
              <w:rPr>
                <w:sz w:val="24"/>
                <w:szCs w:val="24"/>
                <w:highlight w:val="white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shd w:val="clear" w:color="FFFFFF" w:fill="FFFFFF" w:themeFill="background1" w:themeColor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Федеральные сметные цены на материалы, изделия, конструкции и оборудование, применяемые в строительстве в базисном уровне цен</w:t>
            </w:r>
            <w:r>
              <w:rPr>
                <w:sz w:val="24"/>
                <w:szCs w:val="24"/>
                <w:highlight w:val="white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</w:t>
            </w:r>
            <w:r>
              <w:rPr>
                <w:sz w:val="24"/>
                <w:szCs w:val="24"/>
              </w:rPr>
              <w:t xml:space="preserve">СЭМ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</w:t>
            </w:r>
            <w:r>
              <w:rPr>
                <w:sz w:val="24"/>
                <w:szCs w:val="24"/>
              </w:rPr>
              <w:t xml:space="preserve"> сборник сметных расценок на эксплуатацию строительных машин и автотранспортных средств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ОППР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 xml:space="preserve">подготовки и проведения</w:t>
            </w:r>
            <w:r>
              <w:rPr>
                <w:sz w:val="24"/>
                <w:szCs w:val="24"/>
              </w:rPr>
              <w:t xml:space="preserve"> ремонтов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t xml:space="preserve">Проект организации строительства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t xml:space="preserve">Проект производства работ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Проектно-сметная документация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СДО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</w:t>
            </w:r>
            <w:r>
              <w:rPr>
                <w:sz w:val="24"/>
                <w:szCs w:val="24"/>
              </w:rPr>
              <w:t xml:space="preserve">етно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договорной отдел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Программный комплекс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ремонтов </w:t>
            </w: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t xml:space="preserve">ТОиР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t xml:space="preserve">Техническое обслуживание и ремонт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</w:pPr>
            <w:r>
              <w:t xml:space="preserve">ТО</w:t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</w:pPr>
            <w:r>
              <w:t xml:space="preserve">Техническое обслуживание</w:t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t xml:space="preserve">ТПиР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  <w:rPr>
                <w:sz w:val="24"/>
                <w:szCs w:val="24"/>
              </w:rPr>
            </w:pPr>
            <w:r>
              <w:t xml:space="preserve">Техническое перевооружение и реконструкция</w:t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r>
              <w:t xml:space="preserve">ВЗЛ</w:t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r>
              <w:t xml:space="preserve">Взаимозависимое лицо</w:t>
            </w:r>
            <w:r/>
          </w:p>
        </w:tc>
      </w:tr>
      <w:tr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</w:pPr>
            <w:r>
              <w:t xml:space="preserve">Структурное подразделение</w:t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jc w:val="left"/>
              <w:spacing w:lineRule="auto" w:line="240"/>
            </w:pPr>
            <w:r>
              <w:t xml:space="preserve">Структурное подразделение входящее в состав филиала или непосредственного подчинения Исполнительного аппарата АО «ДГК»</w:t>
            </w:r>
            <w:r/>
          </w:p>
        </w:tc>
      </w:tr>
      <w:tr>
        <w:trPr>
          <w:trHeight w:val="23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КЦД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Комплект ценообразующих документов (сметная документация, расчеты, калькуляции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спецификации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>
          <w:trHeight w:val="237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50"/>
              <w:numPr>
                <w:ilvl w:val="0"/>
                <w:numId w:val="22"/>
              </w:numPr>
              <w:ind w:left="113" w:firstLine="0"/>
              <w:jc w:val="center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261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ЗиС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6378" w:type="dxa"/>
            <w:vAlign w:val="top"/>
            <w:vMerge w:val="restart"/>
            <w:textDirection w:val="lrTb"/>
            <w:noWrap w:val="false"/>
          </w:tcPr>
          <w:p>
            <w:pPr>
              <w:pStyle w:val="940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Здания и сооружения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940"/>
      </w:pPr>
      <w:r/>
      <w:r/>
    </w:p>
    <w:p>
      <w:pPr>
        <w:pStyle w:val="941"/>
        <w:ind w:left="0" w:firstLine="0"/>
        <w:jc w:val="center"/>
        <w:spacing w:before="200"/>
      </w:pPr>
      <w:r/>
      <w:bookmarkStart w:id="5" w:name="_Toc65588185"/>
      <w:r>
        <w:t xml:space="preserve">МЕТОДОЛОГИЯ ФОРМИРОВАНИЯ</w:t>
        <w:br/>
        <w:t xml:space="preserve">СМЕТНОЙ ДОКУМЕНТАЦИИ</w:t>
      </w:r>
      <w:bookmarkEnd w:id="5"/>
      <w:r/>
      <w:r/>
    </w:p>
    <w:p>
      <w:pPr>
        <w:pStyle w:val="950"/>
        <w:numPr>
          <w:ilvl w:val="1"/>
          <w:numId w:val="18"/>
        </w:numPr>
        <w:spacing w:lineRule="auto" w:line="360"/>
        <w:tabs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положения</w:t>
      </w:r>
      <w:r>
        <w:rPr>
          <w:b/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сметной стоимости выполняемых работ составляется сметная документация, состоящая из локальных смет, локальных сметных расчетов, объектных смет, объектных сметных расчетов, сметных расчетов на отдельные виды затрат, сводных сметных ра</w:t>
      </w:r>
      <w:r>
        <w:rPr>
          <w:sz w:val="28"/>
          <w:szCs w:val="28"/>
        </w:rPr>
        <w:t xml:space="preserve">счетов стоимости строительства.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использовании сборников базисных цен на конкретные виды работ п</w:t>
      </w:r>
      <w:r>
        <w:rPr>
          <w:sz w:val="28"/>
          <w:szCs w:val="28"/>
        </w:rPr>
        <w:t xml:space="preserve">риоритетным методом о</w:t>
      </w:r>
      <w:r>
        <w:rPr>
          <w:sz w:val="28"/>
          <w:szCs w:val="28"/>
        </w:rPr>
        <w:t xml:space="preserve">пределения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текущей </w:t>
      </w:r>
      <w:r>
        <w:rPr>
          <w:sz w:val="28"/>
          <w:szCs w:val="28"/>
        </w:rPr>
        <w:t xml:space="preserve">стоимости работ</w:t>
      </w:r>
      <w:r>
        <w:rPr>
          <w:sz w:val="28"/>
          <w:szCs w:val="28"/>
        </w:rPr>
        <w:t xml:space="preserve"> является ресурсно-индексный метод.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спользовани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иного метода должно быть согласовано </w:t>
      </w:r>
      <w:r>
        <w:rPr>
          <w:sz w:val="28"/>
          <w:szCs w:val="28"/>
        </w:rPr>
        <w:t xml:space="preserve">профильными службами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СДО</w:t>
      </w:r>
      <w:r>
        <w:rPr>
          <w:sz w:val="28"/>
          <w:szCs w:val="28"/>
        </w:rPr>
        <w:t xml:space="preserve"> до начала формирования сметной документации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Допустимо использование базисно-индексного метода без согласования с профильными службами при условии сост</w:t>
      </w:r>
      <w:r>
        <w:rPr>
          <w:sz w:val="28"/>
          <w:szCs w:val="28"/>
        </w:rPr>
        <w:t xml:space="preserve">авления смет проектными институтами до 2025 года с использованием сборников ФЕР редакции 2020 с изм 1-9. При этом индексы перевода в текущие цены и материалы учтенные по текущим ценам должны быть в актуальном уровне цен со сроком давности не более полугода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составлении локальных сметных расчетов следует принимать во внимание как рекомендательные письма федеральных и региональных органов ц</w:t>
      </w:r>
      <w:r>
        <w:rPr>
          <w:sz w:val="28"/>
          <w:szCs w:val="28"/>
        </w:rPr>
        <w:t xml:space="preserve">енообразования, так и </w:t>
      </w:r>
      <w:r>
        <w:rPr>
          <w:sz w:val="28"/>
          <w:szCs w:val="28"/>
        </w:rPr>
        <w:t xml:space="preserve">писем </w:t>
      </w:r>
      <w:r>
        <w:rPr>
          <w:sz w:val="28"/>
          <w:szCs w:val="28"/>
        </w:rPr>
        <w:t xml:space="preserve">СДО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касающиеся ценообразования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следует обращать внимание </w:t>
      </w:r>
      <w:r>
        <w:rPr>
          <w:sz w:val="28"/>
          <w:szCs w:val="28"/>
        </w:rPr>
        <w:t xml:space="preserve">на следующие особенности ценообразования</w:t>
      </w:r>
      <w:r>
        <w:rPr>
          <w:sz w:val="28"/>
          <w:szCs w:val="28"/>
        </w:rPr>
        <w:t xml:space="preserve">, учитываемые</w:t>
      </w:r>
      <w:r>
        <w:rPr>
          <w:sz w:val="28"/>
          <w:szCs w:val="28"/>
        </w:rPr>
        <w:t xml:space="preserve"> в структуре </w:t>
      </w:r>
      <w:r>
        <w:rPr>
          <w:sz w:val="28"/>
          <w:szCs w:val="28"/>
        </w:rPr>
        <w:t xml:space="preserve">АО «ДГК»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рименение понижающего коэффициента 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=0,3 к расценке</w:t>
      </w:r>
      <w:r>
        <w:rPr>
          <w:sz w:val="28"/>
          <w:szCs w:val="28"/>
        </w:rPr>
        <w:t xml:space="preserve"> ГЭСН (ФЕР) 13-06-003</w:t>
      </w:r>
      <w:r>
        <w:rPr>
          <w:sz w:val="28"/>
          <w:szCs w:val="28"/>
        </w:rPr>
        <w:t xml:space="preserve"> на очистку поверхностей щетками, учитывающ</w:t>
      </w:r>
      <w:r>
        <w:rPr>
          <w:sz w:val="28"/>
          <w:szCs w:val="28"/>
        </w:rPr>
        <w:t xml:space="preserve">его</w:t>
      </w:r>
      <w:r>
        <w:rPr>
          <w:sz w:val="28"/>
          <w:szCs w:val="28"/>
        </w:rPr>
        <w:t xml:space="preserve"> незначительную коррозию очищаемой поверхности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 наличия значительной коррозии следует указывать на данное состояние металла в примечании к позиции по очистке металла ще</w:t>
      </w:r>
      <w:r>
        <w:rPr>
          <w:sz w:val="28"/>
          <w:szCs w:val="28"/>
        </w:rPr>
        <w:t xml:space="preserve">тками в ведомости объемов работ.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апрет на использование расцен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 по разборке бетонных и </w:t>
      </w:r>
      <w:r>
        <w:rPr>
          <w:sz w:val="28"/>
          <w:szCs w:val="28"/>
        </w:rPr>
        <w:t xml:space="preserve">железобетонных </w:t>
      </w:r>
      <w:r>
        <w:rPr>
          <w:sz w:val="28"/>
          <w:szCs w:val="28"/>
        </w:rPr>
        <w:t xml:space="preserve">конструкций</w:t>
      </w:r>
      <w:r>
        <w:rPr>
          <w:sz w:val="28"/>
          <w:szCs w:val="28"/>
        </w:rPr>
        <w:t xml:space="preserve"> по расценкам сборника ГЭСН (ФЕР) 46-04-003</w:t>
      </w:r>
      <w:r>
        <w:rPr>
          <w:sz w:val="28"/>
          <w:szCs w:val="28"/>
        </w:rPr>
        <w:t xml:space="preserve">, учитывающ</w:t>
      </w:r>
      <w:r>
        <w:rPr>
          <w:sz w:val="28"/>
          <w:szCs w:val="28"/>
        </w:rPr>
        <w:t xml:space="preserve">их</w:t>
      </w:r>
      <w:r>
        <w:rPr>
          <w:sz w:val="28"/>
          <w:szCs w:val="28"/>
        </w:rPr>
        <w:t xml:space="preserve"> разборку конструкций специального назначения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Данное ограничение не касается расценки </w:t>
      </w:r>
      <w:r>
        <w:rPr>
          <w:sz w:val="28"/>
          <w:szCs w:val="28"/>
        </w:rPr>
        <w:t xml:space="preserve">ГЭСН </w:t>
      </w:r>
      <w:r>
        <w:rPr>
          <w:sz w:val="28"/>
          <w:szCs w:val="28"/>
        </w:rPr>
        <w:t xml:space="preserve">46-09-05-01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«Разборка монолитных железобетонных конструкций гидромолотом на базе экскаватора» при условии соответствия технологии производства работ, учтенной расценкой.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апрет </w:t>
      </w:r>
      <w:r>
        <w:rPr>
          <w:sz w:val="28"/>
          <w:szCs w:val="28"/>
        </w:rPr>
        <w:t xml:space="preserve">применения коэффициентов на работы, аналогичные технологическим процессам в новом строительстве при ремонте и реконструкции зданий и сооружений к следующим видам работ: капитальный ремонт и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реконструкция магистральных инженерных сетей и наружного благоустройства, установка инвентарных лесов, работ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по разборке и замене кон</w:t>
      </w:r>
      <w:r>
        <w:rPr>
          <w:sz w:val="28"/>
          <w:szCs w:val="28"/>
        </w:rPr>
        <w:t xml:space="preserve">струкций</w:t>
      </w:r>
      <w:r>
        <w:rPr>
          <w:sz w:val="28"/>
          <w:szCs w:val="28"/>
        </w:rPr>
        <w:t xml:space="preserve">, производство земляных работ</w:t>
      </w:r>
      <w:r>
        <w:rPr>
          <w:sz w:val="28"/>
          <w:szCs w:val="28"/>
        </w:rPr>
        <w:t xml:space="preserve">, монтажные работы, работы по сборникам ГЭСН </w:t>
      </w:r>
      <w:r>
        <w:rPr>
          <w:sz w:val="28"/>
          <w:szCs w:val="28"/>
          <w:highlight w:val="white"/>
        </w:rPr>
        <w:t xml:space="preserve">(ФЕР)</w:t>
      </w:r>
      <w:r>
        <w:rPr>
          <w:sz w:val="28"/>
          <w:szCs w:val="28"/>
        </w:rPr>
        <w:t xml:space="preserve"> №46 и ГЭСНр </w:t>
      </w:r>
      <w:r>
        <w:rPr>
          <w:sz w:val="28"/>
          <w:szCs w:val="28"/>
          <w:highlight w:val="white"/>
        </w:rPr>
        <w:t xml:space="preserve">(ФЕРр)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  <w:t xml:space="preserve"> При этом следует иметь ввиду, что приме</w:t>
      </w:r>
      <w:r>
        <w:rPr>
          <w:sz w:val="28"/>
          <w:szCs w:val="28"/>
        </w:rPr>
        <w:t xml:space="preserve">нение указанных коэффициентов к остальным видам работ допустимо в случае учета в локальной смете малых объемов работ. Под малыми объемами работ подразумевается учет в строке локальной сметы объема меньше единицы измерения, учтенной расценкой. В случае учет</w:t>
      </w:r>
      <w:r>
        <w:rPr>
          <w:sz w:val="28"/>
          <w:szCs w:val="28"/>
        </w:rPr>
        <w:t xml:space="preserve">а в пределах одного объекта однотипных работ объемы данных работ суммируются и в случае суммарного превышения объемов сверх единицы измерения, учтенной расценкой, коэффициент, учитывающий малообъемность выполняемых работ, к данным расценкам не применяется.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Запрет на разборку покровного слоя тепловой изоляции независимо от типа покровного слоя – как входящего в состав работ  расценки по разборке тепловой изоляции.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Запрет на устройство лесов в случае отсутствия  указаний в технических частях сборников на допустимость дополнительного учета работ по устройству лесов. Работы по устройству лесов</w:t>
      </w:r>
      <w:r>
        <w:rPr>
          <w:sz w:val="28"/>
          <w:szCs w:val="28"/>
          <w:highlight w:val="none"/>
        </w:rPr>
        <w:t xml:space="preserve"> допустимо учитывать в случае если первоначальная операция согласно ППР учитывается по расценкам сборника, в технической части которого указано что леса допустимо учитывать дополнительно. В случае если технологически первоначальная операция определяется по</w:t>
      </w:r>
      <w:r>
        <w:rPr>
          <w:sz w:val="28"/>
          <w:szCs w:val="28"/>
          <w:highlight w:val="none"/>
        </w:rPr>
        <w:t xml:space="preserve"> сборникам в технической части которых не указано что леса следует учитывать дополнительно, устройство лесов по смете не учитывать, так как все последующие операции должны производиться с ранее установленных лесов, учтенных нормативами накладных расходов. </w:t>
      </w:r>
      <w:r>
        <w:rPr>
          <w:sz w:val="28"/>
          <w:szCs w:val="28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trike w:val="false"/>
          <w:sz w:val="28"/>
          <w:szCs w:val="28"/>
          <w:highlight w:val="red"/>
        </w:rPr>
      </w:pPr>
      <w:r>
        <w:rPr>
          <w:sz w:val="28"/>
          <w:szCs w:val="28"/>
        </w:rPr>
        <w:t xml:space="preserve">При необходимости замены материала, учтенного в составе расценки на другой материал на основании проектных данных </w:t>
      </w:r>
      <w:r>
        <w:rPr>
          <w:sz w:val="28"/>
          <w:szCs w:val="28"/>
        </w:rPr>
        <w:t xml:space="preserve">или решения техсовета  </w:t>
      </w:r>
      <w:r>
        <w:rPr>
          <w:sz w:val="28"/>
          <w:szCs w:val="28"/>
        </w:rPr>
        <w:t xml:space="preserve">структурного подразделения</w:t>
      </w:r>
      <w:r>
        <w:rPr>
          <w:sz w:val="28"/>
          <w:szCs w:val="28"/>
        </w:rPr>
        <w:t xml:space="preserve"> способ учета в смете заменяемых материалов следующий: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аменяемый материал исключается из расценки отдельной строкой в базисном уровне цен. В случае составления сметы в </w:t>
      </w:r>
      <w:r>
        <w:rPr>
          <w:sz w:val="28"/>
          <w:szCs w:val="28"/>
        </w:rPr>
        <w:t xml:space="preserve">ПК</w:t>
      </w:r>
      <w:r>
        <w:rPr>
          <w:sz w:val="28"/>
          <w:szCs w:val="28"/>
        </w:rPr>
        <w:t xml:space="preserve"> «Гранд-Смета» на панели инструментов следует использовать функцию «вычесть на основании ценника». </w:t>
      </w:r>
      <w:r>
        <w:rPr>
          <w:sz w:val="28"/>
          <w:szCs w:val="28"/>
        </w:rPr>
        <w:t xml:space="preserve">Вычитаемый и н</w:t>
      </w:r>
      <w:r>
        <w:rPr>
          <w:sz w:val="28"/>
          <w:szCs w:val="28"/>
        </w:rPr>
        <w:t xml:space="preserve">еобходимый для производства работ материал</w:t>
      </w:r>
      <w:r>
        <w:rPr>
          <w:sz w:val="28"/>
          <w:szCs w:val="28"/>
        </w:rPr>
        <w:t xml:space="preserve">ы исключаются из сметы и </w:t>
      </w:r>
      <w:r>
        <w:rPr>
          <w:sz w:val="28"/>
          <w:szCs w:val="28"/>
        </w:rPr>
        <w:t xml:space="preserve">включа</w:t>
      </w:r>
      <w:r>
        <w:rPr>
          <w:sz w:val="28"/>
          <w:szCs w:val="28"/>
        </w:rPr>
        <w:t xml:space="preserve">ется в смету отдельной строкой в базисном уровне цен на основании данных ФГИС ЦС (ФСБЦ, ФССЦ). Затем к базисной стоимости заменяемых материалов применяются индексы перевода в текущие цены по аналогии учета индексов в смете.</w:t>
      </w:r>
      <w:r>
        <w:rPr>
          <w:strike w:val="false"/>
          <w:sz w:val="28"/>
          <w:szCs w:val="28"/>
        </w:rPr>
        <w:t xml:space="preserve"> </w:t>
      </w:r>
      <w:r>
        <w:rPr>
          <w:strike w:val="false"/>
          <w:sz w:val="28"/>
          <w:szCs w:val="28"/>
          <w:highlight w:val="red"/>
        </w:rPr>
      </w:r>
      <w:r/>
    </w:p>
    <w:p>
      <w:pPr>
        <w:pStyle w:val="950"/>
        <w:numPr>
          <w:ilvl w:val="3"/>
          <w:numId w:val="3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В сметной документации допустимо вносить корр</w:t>
      </w:r>
      <w:r>
        <w:rPr>
          <w:sz w:val="28"/>
          <w:szCs w:val="28"/>
          <w:highlight w:val="none"/>
        </w:rPr>
        <w:t xml:space="preserve">ектировку в расценки в случае предоставления подрядчику давальческ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  <w:shd w:val="clear" w:color="FFFF00" w:fill="FFFF00"/>
        </w:rPr>
        <w:t xml:space="preserve">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none"/>
        </w:rPr>
        <w:t xml:space="preserve">материалов и механизмов( вода водопроводная, химочищенная, электроэнергия, мостовые краны и т.п) . Данные ресурсы подлежат исключению из расценок отдельными позициями, с нормативным расхо</w:t>
      </w:r>
      <w:r>
        <w:rPr>
          <w:sz w:val="28"/>
          <w:szCs w:val="28"/>
          <w:highlight w:val="none"/>
        </w:rPr>
        <w:t xml:space="preserve">дом, учтенным расценкой. Возврат стоимости давальческого материала - электроэнергии производится в итогах локальной сметы на основании распорядительных писем АО ДГК с учетом расчетных процентов возврата по каждому структурному подразделению индивидуально. 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применени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сметн</w:t>
      </w:r>
      <w:r>
        <w:rPr>
          <w:sz w:val="28"/>
          <w:szCs w:val="28"/>
        </w:rPr>
        <w:t xml:space="preserve">ой документации коэффициентов</w:t>
      </w:r>
      <w:r>
        <w:rPr>
          <w:sz w:val="28"/>
          <w:szCs w:val="28"/>
        </w:rPr>
        <w:t xml:space="preserve">, учитывающих</w:t>
      </w:r>
      <w:r>
        <w:rPr>
          <w:sz w:val="28"/>
          <w:szCs w:val="28"/>
        </w:rPr>
        <w:t xml:space="preserve"> условия производства работ и/или усложняющи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фактор</w:t>
      </w:r>
      <w:r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в сметном расчете указываются ссылки на</w:t>
      </w:r>
      <w:r>
        <w:rPr>
          <w:sz w:val="28"/>
          <w:szCs w:val="28"/>
        </w:rPr>
        <w:t xml:space="preserve"> актуальный источник (Методику) на основании которого применены коэффициенты. К сметному расчету прилагаются документы, обосновывающие необходимость использования данного коэффициента (ПОС, ведомости работ, справка, заверенная техническими службами и др.)</w:t>
      </w:r>
      <w:r>
        <w:rPr>
          <w:sz w:val="28"/>
          <w:szCs w:val="28"/>
        </w:rPr>
        <w:t xml:space="preserve">. Работа на территории действующего предприятия не является </w:t>
      </w:r>
      <w:r>
        <w:rPr>
          <w:sz w:val="28"/>
          <w:szCs w:val="28"/>
        </w:rPr>
        <w:t xml:space="preserve">безусловным </w:t>
      </w:r>
      <w:r>
        <w:rPr>
          <w:sz w:val="28"/>
          <w:szCs w:val="28"/>
        </w:rPr>
        <w:t xml:space="preserve">основанием для применения поправочных коэффициентов на условия производства работ при отсутствии</w:t>
      </w:r>
      <w:r>
        <w:rPr>
          <w:sz w:val="28"/>
          <w:szCs w:val="28"/>
        </w:rPr>
        <w:t xml:space="preserve"> факторов</w:t>
      </w:r>
      <w:r>
        <w:rPr>
          <w:sz w:val="28"/>
          <w:szCs w:val="28"/>
        </w:rPr>
        <w:t xml:space="preserve"> стесненности непосредственно на месте производства работ. </w:t>
      </w:r>
      <w:r>
        <w:rPr>
          <w:sz w:val="28"/>
          <w:szCs w:val="28"/>
        </w:rPr>
        <w:t xml:space="preserve">При формиро</w:t>
      </w:r>
      <w:r>
        <w:rPr>
          <w:sz w:val="28"/>
          <w:szCs w:val="28"/>
        </w:rPr>
        <w:t xml:space="preserve">вании ведомостей объемов работ и согласовании документации с проектировщиками следует обращать особое внимание на обоснованность включения таких коэффициентов при работах на золоотвалах, градирнях, инженерно-технических средствах физзащиты периметра и т.п.</w:t>
      </w:r>
      <w:r>
        <w:rPr>
          <w:sz w:val="28"/>
          <w:szCs w:val="28"/>
        </w:rPr>
        <w:t xml:space="preserve"> Коэффициенты следует применять в зависимости от видов применяемых справочников с разделением на монтажные, строительные, </w:t>
      </w:r>
      <w:r>
        <w:rPr>
          <w:sz w:val="28"/>
          <w:szCs w:val="28"/>
        </w:rPr>
        <w:t xml:space="preserve">ремонтные работы и работы по реконструкции ЗиС. Коэффициенты стесненности не применяются к сборникам на погрузо-разгрузочные работы, работы по перевозке грузов и работы на изготовление металлоконструкций в условиях производственных баз ( ГЭСНм ( ФЕРм) №38)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случае наличи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в сметном расчете прочих затрат (командировочные, транспортные, </w:t>
      </w:r>
      <w:r>
        <w:rPr>
          <w:sz w:val="28"/>
          <w:szCs w:val="28"/>
        </w:rPr>
        <w:t xml:space="preserve">перебазировка техники</w:t>
      </w:r>
      <w:r>
        <w:rPr>
          <w:sz w:val="28"/>
          <w:szCs w:val="28"/>
        </w:rPr>
        <w:t xml:space="preserve"> и т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д.) не допускается указание</w:t>
      </w:r>
      <w:r>
        <w:rPr>
          <w:sz w:val="28"/>
          <w:szCs w:val="28"/>
        </w:rPr>
        <w:t xml:space="preserve"> на применение вышеперечисленных затрат </w:t>
      </w:r>
      <w:r>
        <w:rPr>
          <w:sz w:val="28"/>
          <w:szCs w:val="28"/>
        </w:rPr>
        <w:t xml:space="preserve">одной строкой, необходима детализация. </w:t>
      </w:r>
      <w:r>
        <w:rPr>
          <w:sz w:val="28"/>
          <w:szCs w:val="28"/>
        </w:rPr>
        <w:t xml:space="preserve">Лимит средств на командировочные затраты </w:t>
      </w:r>
      <w:r>
        <w:rPr>
          <w:sz w:val="28"/>
          <w:szCs w:val="28"/>
        </w:rPr>
        <w:t xml:space="preserve">на стадии формирования смет допускается учитывать одной строкой с отображением в процентном выражении, но при этом данный лимит </w:t>
      </w:r>
      <w:r>
        <w:rPr>
          <w:sz w:val="28"/>
          <w:szCs w:val="28"/>
        </w:rPr>
        <w:t xml:space="preserve">не должен превышать 3,74% от итогов глав 1-9 сводного сметного расчета стоимости строительства без учета стоимости оборудования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При включении в сметы затрат на командировочные расходы с расшифровкой составляющих допустимо превышение лимита средств на командировочные свыше 3,74%.</w:t>
      </w:r>
      <w:r>
        <w:rPr>
          <w:sz w:val="28"/>
          <w:szCs w:val="28"/>
        </w:rPr>
        <w:t xml:space="preserve"> При отображении </w:t>
      </w:r>
      <w:r>
        <w:rPr>
          <w:sz w:val="28"/>
          <w:szCs w:val="28"/>
        </w:rPr>
        <w:t xml:space="preserve">учета затрат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командировочные расходы в ведомости объемов работ или в заключаемом договоре в обязательном порядке следует включать пункт о</w:t>
      </w:r>
      <w:r>
        <w:rPr>
          <w:sz w:val="28"/>
          <w:szCs w:val="28"/>
        </w:rPr>
        <w:t xml:space="preserve"> недопущении оплаты командировочных затрат в процентном выражении.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стадии выполнения работ лимит средств на командировочные расходы должен подтверждаться о</w:t>
      </w:r>
      <w:r>
        <w:rPr>
          <w:sz w:val="28"/>
          <w:szCs w:val="28"/>
        </w:rPr>
        <w:t xml:space="preserve">тчетными документами в пределах учтенной в смете величины, при этом оплата составляющих командировочных затрат не должна превышать установленных коллективным договором заказчика показателей, которые могут быть представлены подрядчику по отдельному запросу.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сметную документацию допустимо включение статьи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епредвиденны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затрат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  <w:t xml:space="preserve"> Норма затрат на непредвиденные расходы не должна превышать значений, установленных </w:t>
      </w:r>
      <w:r>
        <w:rPr>
          <w:sz w:val="28"/>
          <w:szCs w:val="28"/>
        </w:rPr>
        <w:t xml:space="preserve">Методикой 421/пр</w:t>
      </w:r>
      <w:r>
        <w:rPr>
          <w:sz w:val="28"/>
          <w:szCs w:val="28"/>
        </w:rPr>
        <w:t xml:space="preserve">. Допустимо учитывать размер непредвиденных затрат меньше предусмотренного Методикой 421/пр, при этом количество знаков после запятой указывается в размере не более трёх знаков. При оплате работ за фактически выполненные объемы в актах при</w:t>
      </w:r>
      <w:r>
        <w:rPr>
          <w:sz w:val="28"/>
          <w:szCs w:val="28"/>
        </w:rPr>
        <w:t xml:space="preserve">емки выполненных работ данные затраты не учитываются. В случае возникновения непредвиденных затрат в ходе производства работ они обосновываются актами, на основании которых составляется сметная документация. Ценообразующие факторы на дополнительные работы </w:t>
      </w:r>
      <w:r>
        <w:rPr>
          <w:sz w:val="28"/>
          <w:szCs w:val="28"/>
        </w:rPr>
        <w:t xml:space="preserve">аналогичны учтенным в основной смете показателям и </w:t>
      </w:r>
      <w:r>
        <w:rPr>
          <w:sz w:val="28"/>
          <w:szCs w:val="28"/>
        </w:rPr>
        <w:t xml:space="preserve">не долж</w:t>
      </w:r>
      <w:r>
        <w:rPr>
          <w:sz w:val="28"/>
          <w:szCs w:val="28"/>
        </w:rPr>
        <w:t xml:space="preserve">ны</w:t>
      </w:r>
      <w:r>
        <w:rPr>
          <w:sz w:val="28"/>
          <w:szCs w:val="28"/>
        </w:rPr>
        <w:t xml:space="preserve"> превышать значений, учтенных в сметных расчетах на основные работы по договору.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shd w:val="clear" w:color="FFFFFF" w:fill="FFFFFF" w:themeFill="background1" w:themeColor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формировании сметной документации для определения стоимости строительно-монтажных и ремонтно-строительных работ запрещается включать в сметы стоимость материалов,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оборудования,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машин и механизмов</w:t>
      </w:r>
      <w:r>
        <w:rPr>
          <w:sz w:val="28"/>
          <w:szCs w:val="28"/>
          <w:highlight w:val="white"/>
        </w:rPr>
        <w:t xml:space="preserve"> по текущей стоимости при наличии данных ФСНБ.</w:t>
      </w:r>
      <w:r>
        <w:rPr>
          <w:sz w:val="28"/>
          <w:szCs w:val="28"/>
          <w:highlight w:val="white"/>
        </w:rPr>
        <w:t xml:space="preserve"> В случае отсутствия цены в нормативных сборниках</w:t>
      </w:r>
      <w:r>
        <w:rPr>
          <w:sz w:val="28"/>
          <w:szCs w:val="28"/>
          <w:highlight w:val="white"/>
        </w:rPr>
        <w:t xml:space="preserve">, разработанных индексов перевода в текущие цены </w:t>
      </w:r>
      <w:r>
        <w:rPr>
          <w:sz w:val="28"/>
          <w:szCs w:val="28"/>
          <w:highlight w:val="white"/>
        </w:rPr>
        <w:t xml:space="preserve">или значительного отклонения фактической стоимости материалов,оборудования, </w:t>
      </w:r>
      <w:r>
        <w:rPr>
          <w:sz w:val="28"/>
          <w:szCs w:val="28"/>
          <w:highlight w:val="white"/>
        </w:rPr>
        <w:t xml:space="preserve">машин и механизмов</w:t>
      </w:r>
      <w:r>
        <w:rPr>
          <w:sz w:val="28"/>
          <w:szCs w:val="28"/>
          <w:highlight w:val="white"/>
        </w:rPr>
        <w:t xml:space="preserve"> (</w:t>
      </w:r>
      <w:r>
        <w:rPr>
          <w:sz w:val="28"/>
          <w:szCs w:val="28"/>
          <w:highlight w:val="white"/>
        </w:rPr>
        <w:t xml:space="preserve">более 10% от учтенной </w:t>
      </w:r>
      <w:r>
        <w:rPr>
          <w:sz w:val="28"/>
          <w:szCs w:val="28"/>
          <w:highlight w:val="white"/>
        </w:rPr>
        <w:t xml:space="preserve">нормативными сборниками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  <w:t xml:space="preserve"> стоимость </w:t>
      </w:r>
      <w:r>
        <w:rPr>
          <w:sz w:val="28"/>
          <w:szCs w:val="28"/>
          <w:highlight w:val="white"/>
        </w:rPr>
        <w:t xml:space="preserve">допустимо учитывать на основании сводной таблицы конъюнктурного анализа 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или по данным программного комплекса «Ресурсная карта». </w:t>
      </w:r>
      <w:r>
        <w:rPr>
          <w:rFonts w:eastAsia="Times New Roman"/>
          <w:bCs/>
          <w:sz w:val="28"/>
          <w:szCs w:val="28"/>
        </w:rPr>
        <w:t xml:space="preserve">При этом следует иметь ввиду, что в цене принятой по данным ПК «Ресурсная карта» уже учтены транспортно-заготовительские расходы.</w:t>
      </w:r>
      <w:r>
        <w:rPr>
          <w:sz w:val="28"/>
          <w:szCs w:val="28"/>
          <w:highlight w:val="white"/>
        </w:rPr>
      </w:r>
      <w:r/>
    </w:p>
    <w:p>
      <w:pPr>
        <w:pStyle w:val="950"/>
        <w:numPr>
          <w:ilvl w:val="2"/>
          <w:numId w:val="23"/>
        </w:numPr>
        <w:ind w:left="0" w:firstLine="567"/>
        <w:spacing w:lineRule="auto" w:line="360"/>
        <w:shd w:val="clear" w:color="FFFFFF" w:fill="FFFFFF" w:themeFill="background1" w:themeColor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rFonts w:eastAsia="Times New Roman"/>
          <w:bCs/>
          <w:sz w:val="28"/>
          <w:szCs w:val="28"/>
        </w:rPr>
        <w:t xml:space="preserve">Стоимость материалов, строительных конструкций, оборудования и запасных частей, в случае ее отсутствия </w:t>
      </w:r>
      <w:r>
        <w:rPr>
          <w:rFonts w:eastAsia="Times New Roman"/>
          <w:bCs/>
          <w:sz w:val="28"/>
          <w:szCs w:val="28"/>
        </w:rPr>
        <w:t xml:space="preserve">в ФСНБ</w:t>
      </w:r>
      <w:r>
        <w:rPr>
          <w:rFonts w:eastAsia="Times New Roman"/>
          <w:bCs/>
          <w:sz w:val="28"/>
          <w:szCs w:val="28"/>
        </w:rPr>
        <w:t xml:space="preserve"> определяется на основании данных конъюнктурного анализа с подтверждением  прайс-листами, счетами-фактурами, данными из интернет-источников и т.д. 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Учет итоговой стоимости принимается на основании полученного минимального зн</w:t>
      </w:r>
      <w:r>
        <w:rPr>
          <w:rFonts w:eastAsia="Times New Roman"/>
          <w:bCs/>
          <w:sz w:val="28"/>
          <w:szCs w:val="28"/>
        </w:rPr>
        <w:t xml:space="preserve">ачения из представленных ценовых предложений, при этом отклонения полученных предложений должны быть в пределах 20% от полученных среднеарифметических значений. </w:t>
      </w:r>
      <w:r>
        <w:rPr>
          <w:sz w:val="28"/>
          <w:szCs w:val="28"/>
          <w:highlight w:val="white"/>
        </w:rPr>
      </w:r>
      <w:r/>
    </w:p>
    <w:p>
      <w:pPr>
        <w:pStyle w:val="950"/>
        <w:ind w:left="0" w:firstLine="0"/>
        <w:spacing w:lineRule="auto" w:line="360"/>
        <w:shd w:val="clear" w:color="FFFFFF" w:fill="FFFFFF" w:themeFill="background1" w:themeColor="background1"/>
        <w:rPr>
          <w:sz w:val="28"/>
          <w:szCs w:val="28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none"/>
        </w:rPr>
        <w:t xml:space="preserve">      5.1.9. </w:t>
      </w:r>
      <w:r>
        <w:rPr>
          <w:sz w:val="28"/>
          <w:szCs w:val="28"/>
          <w:highlight w:val="white"/>
        </w:rPr>
        <w:t xml:space="preserve">При включении в смету позиций на основании </w:t>
      </w:r>
      <w:r>
        <w:rPr>
          <w:sz w:val="28"/>
          <w:szCs w:val="28"/>
          <w:highlight w:val="white"/>
        </w:rPr>
        <w:t xml:space="preserve">сводной таблицы конъюнктурного анализа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shd w:val="clear" w:color="FFFF00" w:fill="FFFF00"/>
        </w:rPr>
        <w:t xml:space="preserve">(</w:t>
      </w:r>
      <w:r>
        <w:rPr>
          <w:sz w:val="28"/>
          <w:szCs w:val="28"/>
          <w:highlight w:val="white"/>
          <w:shd w:val="clear" w:color="FFFF00" w:fill="FFFF00"/>
        </w:rPr>
        <w:t xml:space="preserve">Методика 421/пр) </w:t>
      </w:r>
      <w:r>
        <w:rPr>
          <w:sz w:val="28"/>
          <w:szCs w:val="28"/>
          <w:highlight w:val="white"/>
        </w:rPr>
        <w:t xml:space="preserve">должны быть выполнены следующие требования:</w:t>
      </w:r>
      <w:r>
        <w:rPr>
          <w:sz w:val="28"/>
          <w:szCs w:val="28"/>
          <w:highlight w:val="white"/>
        </w:rPr>
        <w:t xml:space="preserve">          </w:t>
      </w:r>
      <w:r>
        <w:rPr>
          <w:sz w:val="28"/>
          <w:szCs w:val="28"/>
          <w:highlight w:val="white"/>
        </w:rPr>
      </w:r>
      <w:r/>
    </w:p>
    <w:p>
      <w:pPr>
        <w:pStyle w:val="950"/>
        <w:ind w:left="0" w:firstLine="0"/>
        <w:spacing w:lineRule="auto" w:line="360"/>
        <w:shd w:val="clear" w:color="FFFFFF" w:fill="FFFFFF" w:themeFill="background1" w:themeColor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- направляется в составе сметной документации на согласование в формате «Гранд смета»</w:t>
      </w:r>
      <w:r>
        <w:rPr>
          <w:sz w:val="28"/>
          <w:szCs w:val="28"/>
          <w:highlight w:val="white"/>
        </w:rPr>
        <w:t xml:space="preserve">   и формате «pdf» с подписью ответственного исполнителя;                                                                                                                    -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используется инф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ормация из открытых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 (ТКП; прайс-листы; счёт-фактуры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shd w:val="clear" w:color="FFFF00" w:fill="FFFF00"/>
        </w:rPr>
        <w:t xml:space="preserve"> </w:t>
      </w:r>
      <w:r>
        <w:rPr>
          <w:sz w:val="28"/>
          <w:szCs w:val="28"/>
          <w:highlight w:val="white"/>
          <w:shd w:val="clear" w:color="FFFF00" w:fill="FFFF00"/>
        </w:rPr>
        <w:t xml:space="preserve">снимки экрана «скриншот</w:t>
      </w:r>
      <w:r>
        <w:rPr>
          <w:sz w:val="28"/>
          <w:szCs w:val="28"/>
          <w:highlight w:val="white"/>
          <w:shd w:val="clear" w:color="FFFFFF" w:fill="FFFFFF" w:themeFill="background1" w:themeColor="background1"/>
        </w:rPr>
        <w:t xml:space="preserve">», содержащие изображения соответствующих страниц сайтов с указанием ссылки на сайт, даты формирования, наименования поставщика, информации о цене </w:t>
      </w:r>
      <w:r>
        <w:rPr>
          <w:sz w:val="28"/>
          <w:szCs w:val="28"/>
          <w:highlight w:val="white"/>
          <w:shd w:val="clear" w:color="FFFF00" w:fill="FFFF00"/>
        </w:rPr>
        <w:t xml:space="preserve">продукции, контактного телефона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 и т.п.), подпис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анными производите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лями и (или) поставщиками соответствующих ма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териальных ресурсов и оборудования и (или) заверенными подписями уполномоченного лица производителей и (или) поставщиков;                                                                                                                                      -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стоимости;    -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в документах, обосновывающих стоимость в текущем уровне цен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, должна содержаться следующая информация: наименование производителя (поставщика), его идентификационный номер налогоплательщика, контактные данные, об исполни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теле (исполнителях) (при наличии) такого обосновывающего документа с указанием фамилий и инициалов либо иных реквизитов, необходимых для идентификации этих лиц, а также о дате составления документа, дате и (или) сроках действия ценовых предложений, об учет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</w:rPr>
        <w:t xml:space="preserve">е (или не учете) в ценах отдельных затрат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shd w:val="clear" w:color="FFFF00" w:fill="FFFF00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shd w:val="clear" w:color="FFFFFF" w:fill="FFFFFF" w:themeFill="background1" w:themeColor="background1"/>
        </w:rPr>
        <w:t xml:space="preserve">в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shd w:val="clear" w:color="FFFFFF" w:fill="FFFFFF" w:themeFill="background1" w:themeColor="background1"/>
        </w:rPr>
        <w:t xml:space="preserve">частности, на перевозку, шефмонтаж, шефналадку) и налога на добавленную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shd w:val="clear" w:color="FFFF00" w:fill="FFFF00"/>
        </w:rPr>
        <w:t xml:space="preserve">стоимость;</w:t>
      </w:r>
      <w:r>
        <w:rPr>
          <w:highlight w:val="white"/>
        </w:rPr>
        <w:t xml:space="preserve"> </w:t>
      </w:r>
      <w:r>
        <w:rPr>
          <w:highlight w:val="white"/>
        </w:rPr>
      </w:r>
      <w:r/>
    </w:p>
    <w:p>
      <w:pPr>
        <w:pStyle w:val="950"/>
        <w:ind w:left="0" w:firstLine="0"/>
        <w:spacing w:lineRule="auto" w:line="360"/>
        <w:shd w:val="clear" w:color="FFFFFF" w:fill="FFFFFF" w:themeFill="background1" w:themeColor="background1"/>
        <w:rPr>
          <w:highlight w:val="white"/>
        </w:rPr>
      </w:pPr>
      <w:r>
        <w:rPr>
          <w:highlight w:val="white"/>
        </w:rPr>
        <w:t xml:space="preserve">-</w:t>
      </w:r>
      <w:r>
        <w:rPr>
          <w:sz w:val="28"/>
          <w:szCs w:val="28"/>
          <w:highlight w:val="white"/>
        </w:rPr>
        <w:t xml:space="preserve"> в случае отсутствия в регионе строительства трёх источников информацмм о текущих ценах и нецелесообразности поставки ТМЦ из других регионов</w:t>
      </w:r>
      <w:r>
        <w:rPr>
          <w:sz w:val="28"/>
          <w:szCs w:val="28"/>
          <w:highlight w:val="white"/>
        </w:rPr>
        <w:t xml:space="preserve"> крупногабаритного или быстросхватываемого материала допустимо учитывать в конъюнктурном анализе менее трёх поставщиков, при этом к конъюнктурному анализу прикладывается служебная записка с объяснением причин.</w:t>
      </w:r>
      <w:r>
        <w:rPr>
          <w:highlight w:val="white"/>
        </w:rPr>
      </w:r>
      <w:r/>
    </w:p>
    <w:p>
      <w:pPr>
        <w:pStyle w:val="950"/>
        <w:ind w:left="0" w:firstLine="0"/>
        <w:spacing w:lineRule="auto" w:line="360"/>
        <w:shd w:val="clear" w:color="FFFFFF" w:fill="FFFFFF" w:themeFill="background1" w:themeColor="background1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  5.1.10.</w:t>
      </w:r>
      <w:r>
        <w:rPr>
          <w:sz w:val="28"/>
          <w:szCs w:val="28"/>
          <w:highlight w:val="white"/>
        </w:rPr>
        <w:t xml:space="preserve">ТМЦ и оборудование, указанные в смете, должн</w:t>
      </w:r>
      <w:r>
        <w:rPr>
          <w:sz w:val="28"/>
          <w:szCs w:val="28"/>
        </w:rPr>
        <w:t xml:space="preserve">ы содержать в</w:t>
      </w:r>
      <w:r>
        <w:rPr>
          <w:sz w:val="28"/>
          <w:szCs w:val="28"/>
        </w:rPr>
        <w:t xml:space="preserve">се технические характеристики (</w:t>
      </w:r>
      <w:r>
        <w:rPr>
          <w:sz w:val="28"/>
          <w:szCs w:val="28"/>
        </w:rPr>
        <w:t xml:space="preserve">вид, марка, тип, размер).</w:t>
      </w:r>
      <w:r>
        <w:rPr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        5.1.11.При учете дополнительных затрат на доставку материалов и оборудования, принятых на основании прайс-листов </w:t>
      </w:r>
      <w:r>
        <w:rPr>
          <w:sz w:val="28"/>
          <w:szCs w:val="28"/>
        </w:rPr>
        <w:t xml:space="preserve">поставщиков данные затраты допустимо включать доп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лнительно</w:t>
      </w:r>
      <w:r>
        <w:rPr>
          <w:sz w:val="28"/>
          <w:szCs w:val="28"/>
        </w:rPr>
        <w:t xml:space="preserve">, если они </w:t>
      </w:r>
      <w:r>
        <w:rPr>
          <w:sz w:val="28"/>
          <w:szCs w:val="28"/>
        </w:rPr>
        <w:t xml:space="preserve">не учтены в цене материала (оборудования). При определении затрат на доставку в процентном выражении от отпускной цены материала (оборудования) лимит затрат не должен превышать 3%. В случае превышения данного лимита затраты по доставке должны подтверждатьс</w:t>
      </w:r>
      <w:r>
        <w:rPr>
          <w:sz w:val="28"/>
          <w:szCs w:val="28"/>
        </w:rPr>
        <w:t xml:space="preserve">я расчетом с расшифровкой составляющих (нормативное время пробега автотранспорта, сметная цена автотранспорта с учетом индекса перевода в текущие цены к сметной цене автотранспорта, расстояние перевозки груза автотранспортом или железнодорожным транспортом</w:t>
      </w:r>
      <w:r>
        <w:rPr>
          <w:sz w:val="28"/>
          <w:szCs w:val="28"/>
        </w:rPr>
        <w:t xml:space="preserve">). На стадии формирова</w:t>
      </w:r>
      <w:r>
        <w:rPr>
          <w:sz w:val="28"/>
          <w:szCs w:val="28"/>
        </w:rPr>
        <w:t xml:space="preserve">ния смет допустимо также учитывать доставку материало</w:t>
      </w:r>
      <w:r>
        <w:rPr>
          <w:sz w:val="28"/>
          <w:szCs w:val="28"/>
        </w:rPr>
        <w:t xml:space="preserve">в, учтенных в смете по текущим ценам на основании калькулятора транспорт</w:t>
      </w:r>
      <w:r>
        <w:rPr>
          <w:sz w:val="28"/>
          <w:szCs w:val="28"/>
        </w:rPr>
        <w:t xml:space="preserve">ных компаний, с выбором транспортировщика на основании данных конъюнктурного анализа, но при этом в заключаемом договоре следует указать о необходимости подтверждения затрат на доставку материалов отчетными документами в пределах учтенной в смете величины.</w:t>
      </w:r>
      <w:r>
        <w:rPr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  5.1.12. В случае корректировки сметной документации на стадии выполнения работ сводный сметный расчет оформляется следующим образом:</w:t>
      </w:r>
      <w:r>
        <w:rPr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5.1.12.1. В сводном сметном расчете, учтенном в составе заключенного Договора, вводится раздел «Исключено допсоглашением №....» . В данном разделе отображаются локальные сметы в которые планируется внести изменения с той</w:t>
      </w:r>
      <w:r>
        <w:rPr>
          <w:sz w:val="28"/>
          <w:szCs w:val="28"/>
          <w:highlight w:val="none"/>
        </w:rPr>
        <w:t xml:space="preserve"> же нумерацией с которой они были учтены в составе договора. Проставляется итоговая сумма исключаемых смет. В формате ПК «Гранд-Смета» данная строка вносится как неактивная позиция для корректности сохранения общей итоговой суммы сводного сметного расчета.</w:t>
      </w:r>
      <w:r>
        <w:rPr>
          <w:sz w:val="28"/>
          <w:szCs w:val="28"/>
          <w:highlight w:val="none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5.1.12.2.  После раздела сводного сметного расчета с исключаемыми сметами вводитс</w:t>
      </w:r>
      <w:r>
        <w:rPr>
          <w:sz w:val="28"/>
          <w:szCs w:val="28"/>
          <w:highlight w:val="none"/>
        </w:rPr>
        <w:t xml:space="preserve">я раздел «Включено допсоглашением №....». Нумерация включаемых смет соответствует нумерации смет учтенных в составе основного договора с добавленным знаком дефиса и цифрой соответствующей значению количеству раз откорректированной сметы ( -01, -02 и т.д).</w:t>
      </w:r>
      <w:r>
        <w:rPr>
          <w:sz w:val="28"/>
          <w:szCs w:val="28"/>
          <w:highlight w:val="none"/>
        </w:rPr>
        <w:t xml:space="preserve">Указывается итоговая сумма включаемых смет. В формате ПК «Гранд-Смета» данная строка вносится как неактивная позиция для корректности сохранения общей итоговой суммы сводного сметного расчета.</w:t>
      </w:r>
      <w:r>
        <w:rPr>
          <w:sz w:val="28"/>
          <w:szCs w:val="28"/>
          <w:highlight w:val="none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5.1.12.3. При внесение изменений в сводный сметный расчет следует иметь ввиду, что, в случае учета в составе сводного сметного расчета лимита на непредвиденные работы и затраты, в первую очередь должен быть использован данный лимит в сост</w:t>
      </w:r>
      <w:r>
        <w:rPr>
          <w:sz w:val="28"/>
          <w:szCs w:val="28"/>
          <w:highlight w:val="none"/>
        </w:rPr>
        <w:t xml:space="preserve">аве дополнительных локальных смет в разделе «Включено допсоглашением №...» и только после использования лимита средств на непредвиденные работы и затраты вносятся корректировки по остальным дополнительным работам, возникшим в процессе исполнения Договора. </w:t>
      </w:r>
      <w:r>
        <w:rPr>
          <w:sz w:val="28"/>
          <w:szCs w:val="28"/>
          <w:highlight w:val="none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5.1.12.4. В случае формирования цены Договора на основании локальной сметы методика внесения</w:t>
      </w:r>
      <w:r>
        <w:rPr>
          <w:sz w:val="28"/>
          <w:szCs w:val="28"/>
          <w:highlight w:val="none"/>
        </w:rPr>
        <w:t xml:space="preserve"> изменений в локальный сметный расчет аналогична – вводятся разделы «исключаемые объемы работ», «включаемые объемы работ», лимит средств на непредвиденные работы и затраты исключается при корректировке локальной сметы, формируемой  на основании уточненных </w:t>
      </w:r>
      <w:r>
        <w:rPr>
          <w:sz w:val="28"/>
          <w:szCs w:val="28"/>
          <w:highlight w:val="none"/>
        </w:rPr>
        <w:t xml:space="preserve">объемов работ. </w:t>
      </w:r>
      <w:r>
        <w:rPr>
          <w:sz w:val="28"/>
          <w:szCs w:val="28"/>
        </w:rPr>
      </w:r>
      <w:r/>
    </w:p>
    <w:p>
      <w:pPr>
        <w:pStyle w:val="950"/>
        <w:ind w:left="378" w:firstLine="0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5.1.13. Результаты вычислений и итоговые данные в сметной документации приводятся следующим образом:</w:t>
      </w:r>
      <w:r>
        <w:rPr>
          <w:sz w:val="28"/>
          <w:szCs w:val="28"/>
        </w:rPr>
      </w:r>
      <w:r/>
    </w:p>
    <w:p>
      <w:pPr>
        <w:pStyle w:val="950"/>
        <w:numPr>
          <w:ilvl w:val="0"/>
          <w:numId w:val="2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локальных сметных расчетах итоговые цифры</w:t>
      </w:r>
      <w:r>
        <w:rPr>
          <w:sz w:val="28"/>
          <w:szCs w:val="28"/>
          <w:lang w:eastAsia="ru-RU"/>
        </w:rPr>
        <w:t xml:space="preserve"> без НДС указываются в рублях и округляются </w:t>
      </w:r>
      <w:r>
        <w:rPr>
          <w:sz w:val="28"/>
          <w:szCs w:val="28"/>
          <w:lang w:eastAsia="ru-RU"/>
        </w:rPr>
        <w:t xml:space="preserve">в соответствие с рекомендациями Министерства строительства и ЖКХ РФ</w:t>
      </w:r>
      <w:r>
        <w:rPr>
          <w:sz w:val="28"/>
          <w:szCs w:val="28"/>
          <w:lang w:eastAsia="ru-RU"/>
        </w:rPr>
        <w:t xml:space="preserve">;</w:t>
      </w:r>
      <w:r>
        <w:rPr>
          <w:sz w:val="28"/>
          <w:szCs w:val="28"/>
        </w:rPr>
      </w:r>
      <w:r/>
    </w:p>
    <w:p>
      <w:pPr>
        <w:pStyle w:val="950"/>
        <w:numPr>
          <w:ilvl w:val="0"/>
          <w:numId w:val="2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 начислении НДС итоговые цифры</w:t>
      </w:r>
      <w:r>
        <w:rPr>
          <w:sz w:val="28"/>
          <w:szCs w:val="28"/>
          <w:lang w:eastAsia="ru-RU"/>
        </w:rPr>
        <w:t xml:space="preserve"> указываются в рублях 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округляются </w:t>
      </w:r>
      <w:r>
        <w:rPr>
          <w:sz w:val="28"/>
          <w:szCs w:val="28"/>
          <w:lang w:eastAsia="ru-RU"/>
        </w:rPr>
        <w:t xml:space="preserve">до двух знаков после запятой;</w:t>
      </w:r>
      <w:r>
        <w:rPr>
          <w:sz w:val="28"/>
          <w:szCs w:val="28"/>
        </w:rPr>
      </w:r>
      <w:r/>
    </w:p>
    <w:p>
      <w:pPr>
        <w:pStyle w:val="950"/>
        <w:numPr>
          <w:ilvl w:val="0"/>
          <w:numId w:val="20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индекс перевода в текущие цены </w:t>
      </w:r>
      <w:r>
        <w:rPr>
          <w:sz w:val="28"/>
          <w:szCs w:val="28"/>
          <w:lang w:eastAsia="ru-RU"/>
        </w:rPr>
        <w:t xml:space="preserve">округляется </w:t>
      </w:r>
      <w:r>
        <w:rPr>
          <w:sz w:val="28"/>
          <w:szCs w:val="28"/>
          <w:lang w:eastAsia="ru-RU"/>
        </w:rPr>
        <w:t xml:space="preserve">до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трех</w:t>
      </w:r>
      <w:r>
        <w:rPr>
          <w:sz w:val="28"/>
          <w:szCs w:val="28"/>
          <w:lang w:eastAsia="ru-RU"/>
        </w:rPr>
        <w:t xml:space="preserve"> знаков после запятой.</w:t>
      </w:r>
      <w:r>
        <w:rPr>
          <w:sz w:val="28"/>
          <w:szCs w:val="28"/>
        </w:rPr>
      </w:r>
      <w:r/>
    </w:p>
    <w:p>
      <w:pPr>
        <w:pStyle w:val="950"/>
        <w:ind w:left="378" w:firstLine="0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5.1.14. Все изменения в методиках определения стоимости работ, предельных коэффициентов, индексов производятся только по согласованию </w:t>
      </w:r>
      <w:r>
        <w:rPr>
          <w:sz w:val="28"/>
          <w:szCs w:val="28"/>
        </w:rPr>
        <w:t xml:space="preserve">с СДО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ind w:left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50"/>
        <w:numPr>
          <w:ilvl w:val="1"/>
          <w:numId w:val="18"/>
        </w:numPr>
        <w:spacing w:lineRule="auto" w:line="360"/>
        <w:tabs>
          <w:tab w:val="left" w:pos="993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Определение стоимости работ 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ремонт энергооборудования по</w:t>
      </w:r>
      <w:r>
        <w:rPr>
          <w:b/>
          <w:sz w:val="28"/>
          <w:szCs w:val="28"/>
          <w:lang w:val="en-US"/>
        </w:rPr>
        <w:t xml:space="preserve"> </w:t>
      </w:r>
      <w:r>
        <w:rPr>
          <w:b/>
          <w:sz w:val="28"/>
          <w:szCs w:val="28"/>
        </w:rPr>
        <w:t xml:space="preserve">БЦ</w:t>
      </w:r>
      <w:r>
        <w:rPr>
          <w:b/>
          <w:sz w:val="28"/>
          <w:szCs w:val="28"/>
        </w:rPr>
        <w:t xml:space="preserve">2003</w:t>
      </w:r>
      <w:r>
        <w:rPr>
          <w:b/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тоимост</w:t>
      </w:r>
      <w:r>
        <w:rPr>
          <w:sz w:val="28"/>
          <w:szCs w:val="28"/>
        </w:rPr>
        <w:t xml:space="preserve">ь </w:t>
      </w:r>
      <w:r>
        <w:rPr>
          <w:sz w:val="28"/>
          <w:szCs w:val="28"/>
        </w:rPr>
        <w:t xml:space="preserve">ремонтных работ энергетического оборудования</w:t>
      </w:r>
      <w:r>
        <w:rPr>
          <w:sz w:val="28"/>
          <w:szCs w:val="28"/>
        </w:rPr>
        <w:t xml:space="preserve"> определяется по </w:t>
      </w:r>
      <w:r>
        <w:rPr>
          <w:sz w:val="28"/>
          <w:szCs w:val="28"/>
        </w:rPr>
        <w:t xml:space="preserve">сборникам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 с учетом Дополнений </w:t>
      </w:r>
      <w:r>
        <w:rPr>
          <w:sz w:val="28"/>
          <w:szCs w:val="28"/>
        </w:rPr>
        <w:t xml:space="preserve">к БЦ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2003</w:t>
      </w:r>
      <w:r>
        <w:rPr>
          <w:sz w:val="28"/>
          <w:szCs w:val="28"/>
        </w:rPr>
        <w:t xml:space="preserve"> ( с изм 1-12).</w:t>
      </w:r>
      <w:r>
        <w:rPr>
          <w:sz w:val="28"/>
          <w:szCs w:val="28"/>
        </w:rPr>
        <w:t xml:space="preserve"> Применение сборников БЦ с изм 1-14 запрещено до особого распоряжения ПАО «РусГидро»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Трудоемкость ремонтных работ определяется по </w:t>
      </w:r>
      <w:r>
        <w:rPr>
          <w:sz w:val="28"/>
          <w:szCs w:val="28"/>
        </w:rPr>
        <w:t xml:space="preserve">сборникам </w:t>
      </w:r>
      <w:r>
        <w:rPr>
          <w:sz w:val="28"/>
          <w:szCs w:val="28"/>
        </w:rPr>
        <w:t xml:space="preserve">«Трудоемкость к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составлении смет по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, следует учитывать требования всех разделов данного документа и примечаний к разделам, таблицам и позициям. При это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при составлении сметных расчетов по одной из частей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расценкам, принятым по этой части, </w:t>
      </w:r>
      <w:r>
        <w:rPr>
          <w:sz w:val="28"/>
          <w:szCs w:val="28"/>
        </w:rPr>
        <w:t xml:space="preserve">не допускается использовать </w:t>
      </w:r>
      <w:r>
        <w:rPr>
          <w:sz w:val="28"/>
          <w:szCs w:val="28"/>
        </w:rPr>
        <w:t xml:space="preserve">требования,</w:t>
      </w:r>
      <w:r>
        <w:rPr>
          <w:sz w:val="28"/>
          <w:szCs w:val="28"/>
        </w:rPr>
        <w:t xml:space="preserve"> указанные в примечаниях к </w:t>
      </w:r>
      <w:r>
        <w:rPr>
          <w:sz w:val="28"/>
          <w:szCs w:val="28"/>
        </w:rPr>
        <w:t xml:space="preserve">другим частям</w:t>
      </w:r>
      <w:r>
        <w:rPr>
          <w:sz w:val="28"/>
          <w:szCs w:val="28"/>
        </w:rPr>
        <w:t xml:space="preserve"> сборника или к другим сборникам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Форма сметного расчета, составляемого на основании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должна соответствовать унифицированным формам, имеющимся в том числе в образцах программного комплекса «Гран-Смета».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Стоимость работ по ремонту оборудования, не включенных в части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 определяется ресурсно-индексным методом по сборникам ФСНБ 2022 актуальной редакции, в случае отсутствия в базе ФСНБ 2022 необходимых расценок - по калькуляциям.</w:t>
      </w:r>
      <w:r>
        <w:rPr>
          <w:sz w:val="28"/>
          <w:szCs w:val="28"/>
        </w:rPr>
        <w:t xml:space="preserve"> Допустимо определение стоимости таких работ в виде отдельной калькуляции с последующим включением </w:t>
      </w:r>
      <w:r>
        <w:rPr>
          <w:sz w:val="28"/>
          <w:szCs w:val="28"/>
        </w:rPr>
        <w:t xml:space="preserve">стоимости определенных по калькуляции работ одной строкой </w:t>
      </w:r>
      <w:r>
        <w:rPr>
          <w:sz w:val="28"/>
          <w:szCs w:val="28"/>
        </w:rPr>
        <w:t xml:space="preserve">в локальный сметный расчет</w:t>
      </w:r>
      <w:r>
        <w:rPr>
          <w:sz w:val="28"/>
          <w:szCs w:val="28"/>
        </w:rPr>
        <w:t xml:space="preserve"> составленный по сборникам БЦ-2003.</w:t>
      </w:r>
      <w:r>
        <w:rPr>
          <w:sz w:val="28"/>
          <w:szCs w:val="28"/>
        </w:rPr>
        <w:t xml:space="preserve"> При этом в качестве обоснования в соответствующей графе</w:t>
      </w:r>
      <w:r>
        <w:rPr>
          <w:sz w:val="28"/>
          <w:szCs w:val="28"/>
        </w:rPr>
        <w:t xml:space="preserve"> сметы</w:t>
      </w:r>
      <w:r>
        <w:rPr>
          <w:sz w:val="28"/>
          <w:szCs w:val="28"/>
        </w:rPr>
        <w:t xml:space="preserve"> следует указывать ссылку на калькуляцию с обязательным приложением её к локальному сметному расчету.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исключительных случаях, когда определить стоимость работ по ремонту энергетического оборудования на основании </w:t>
      </w:r>
      <w:r>
        <w:rPr>
          <w:sz w:val="28"/>
          <w:szCs w:val="28"/>
        </w:rPr>
        <w:t xml:space="preserve">БЦ-2003 </w:t>
      </w:r>
      <w:r>
        <w:rPr>
          <w:sz w:val="28"/>
          <w:szCs w:val="28"/>
        </w:rPr>
        <w:t xml:space="preserve">не представляется возможным ввиду отсутствия цен на отдельные виды работ, а подсчет фактических норм и описание объемов работ с целью составления калькуляций затруднены, допустимо применение </w:t>
      </w:r>
      <w:r>
        <w:rPr>
          <w:sz w:val="28"/>
          <w:szCs w:val="28"/>
        </w:rPr>
        <w:t xml:space="preserve">иных </w:t>
      </w:r>
      <w:r>
        <w:rPr>
          <w:sz w:val="28"/>
          <w:szCs w:val="28"/>
        </w:rPr>
        <w:t xml:space="preserve">нормативных </w:t>
      </w:r>
      <w:r>
        <w:rPr>
          <w:sz w:val="28"/>
          <w:szCs w:val="28"/>
        </w:rPr>
        <w:t xml:space="preserve">сборников</w:t>
      </w:r>
      <w:r>
        <w:rPr>
          <w:sz w:val="28"/>
          <w:szCs w:val="28"/>
        </w:rPr>
        <w:t xml:space="preserve">. П</w:t>
      </w:r>
      <w:r>
        <w:rPr>
          <w:sz w:val="28"/>
          <w:szCs w:val="28"/>
        </w:rPr>
        <w:t xml:space="preserve">ри этом технология и вид работ должны однозначно соответствовать </w:t>
      </w:r>
      <w:r>
        <w:rPr>
          <w:sz w:val="28"/>
          <w:szCs w:val="28"/>
        </w:rPr>
        <w:t xml:space="preserve">расценкам, учтенным</w:t>
      </w:r>
      <w:r>
        <w:rPr>
          <w:sz w:val="28"/>
          <w:szCs w:val="28"/>
        </w:rPr>
        <w:t xml:space="preserve"> данны</w:t>
      </w:r>
      <w:r>
        <w:rPr>
          <w:sz w:val="28"/>
          <w:szCs w:val="28"/>
        </w:rPr>
        <w:t xml:space="preserve">ми</w:t>
      </w:r>
      <w:r>
        <w:rPr>
          <w:sz w:val="28"/>
          <w:szCs w:val="28"/>
        </w:rPr>
        <w:t xml:space="preserve"> сборника</w:t>
      </w:r>
      <w:r>
        <w:rPr>
          <w:sz w:val="28"/>
          <w:szCs w:val="28"/>
        </w:rPr>
        <w:t xml:space="preserve">ми.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затрат по техническому обс</w:t>
      </w:r>
      <w:r>
        <w:rPr>
          <w:sz w:val="28"/>
          <w:szCs w:val="28"/>
        </w:rPr>
        <w:t xml:space="preserve">луживанию следует иметь ввиду, что в части расценок на техобслуживание учтен годовой объем работ и при ежемесячном закрытии объемов по техобслуживанию следует применять соответствующий поправочный коэффициент, учитывающий фактически выполненный объем работ</w:t>
      </w:r>
      <w:r>
        <w:rPr>
          <w:sz w:val="28"/>
          <w:szCs w:val="28"/>
        </w:rPr>
        <w:t xml:space="preserve"> и рассчитанн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как отношение годовых затрат на </w:t>
      </w:r>
      <w:r>
        <w:rPr>
          <w:sz w:val="28"/>
          <w:szCs w:val="28"/>
        </w:rPr>
        <w:t xml:space="preserve">ТО,</w:t>
      </w:r>
      <w:r>
        <w:rPr>
          <w:sz w:val="28"/>
          <w:szCs w:val="28"/>
        </w:rPr>
        <w:t xml:space="preserve"> установленн</w:t>
      </w:r>
      <w:r>
        <w:rPr>
          <w:sz w:val="28"/>
          <w:szCs w:val="28"/>
        </w:rPr>
        <w:t xml:space="preserve">ое</w:t>
      </w:r>
      <w:r>
        <w:rPr>
          <w:sz w:val="28"/>
          <w:szCs w:val="28"/>
        </w:rPr>
        <w:t xml:space="preserve"> сборниками к количеству разовых ТО, проводимых в течении года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Применяемые при выполнении работ материалы выделяются в смете отдельным разделом, </w:t>
      </w:r>
      <w:r>
        <w:rPr>
          <w:sz w:val="28"/>
          <w:szCs w:val="28"/>
          <w:highlight w:val="white"/>
        </w:rPr>
        <w:t xml:space="preserve">следующим за соответствующим разделом с расценками на работы</w:t>
      </w:r>
      <w:r>
        <w:rPr>
          <w:sz w:val="28"/>
          <w:szCs w:val="28"/>
          <w:highlight w:val="white"/>
        </w:rPr>
        <w:t xml:space="preserve">, с расши</w:t>
      </w:r>
      <w:r>
        <w:rPr>
          <w:sz w:val="28"/>
          <w:szCs w:val="28"/>
        </w:rPr>
        <w:t xml:space="preserve">фровкой наименования, указанием единицы измерения, стоимости за единицу и общей стоимости. 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составлении сметы в ПК «Гранд- Смета» к позициям сметы учитывающим выполняемые работы, следует присваивать вид работ «Ремонт энергооборудования» с отнесением в графе объектного (сводного) сметного расчета </w:t>
      </w:r>
      <w:r>
        <w:rPr>
          <w:sz w:val="28"/>
          <w:szCs w:val="28"/>
        </w:rPr>
        <w:t xml:space="preserve">к статье «Прочие </w:t>
      </w:r>
      <w:r>
        <w:rPr>
          <w:sz w:val="28"/>
          <w:szCs w:val="28"/>
        </w:rPr>
        <w:t xml:space="preserve">работы</w:t>
      </w:r>
      <w:r>
        <w:rPr>
          <w:sz w:val="28"/>
          <w:szCs w:val="28"/>
        </w:rPr>
        <w:t xml:space="preserve">», к позициям сметы, учитывающим стоимость материалов поставки Подрядчика следует присваивать вид работ</w:t>
      </w:r>
      <w:r>
        <w:rPr>
          <w:sz w:val="28"/>
          <w:szCs w:val="28"/>
        </w:rPr>
        <w:t xml:space="preserve"> «Материалы» или</w:t>
      </w:r>
      <w:r>
        <w:rPr>
          <w:sz w:val="28"/>
          <w:szCs w:val="28"/>
        </w:rPr>
        <w:t xml:space="preserve"> «Материалы для монтажных работ» с отнесением</w:t>
      </w:r>
      <w:r>
        <w:rPr>
          <w:sz w:val="28"/>
          <w:szCs w:val="28"/>
        </w:rPr>
        <w:t xml:space="preserve"> в графе объектного (сводного) сметного расчета к статье «Монтажные работы», к позициям сметы учитывающим стоимость материалов поставки Заказчика следует присваивать вид работ </w:t>
      </w:r>
      <w:r>
        <w:rPr>
          <w:sz w:val="28"/>
          <w:szCs w:val="28"/>
        </w:rPr>
        <w:t xml:space="preserve">«Материалы» или </w:t>
      </w:r>
      <w:r>
        <w:rPr>
          <w:sz w:val="28"/>
          <w:szCs w:val="28"/>
        </w:rPr>
        <w:t xml:space="preserve">«Материалы для строительных работ» с отнесением в графе объектного (сводного) сметного расчета</w:t>
      </w:r>
      <w:r>
        <w:rPr>
          <w:sz w:val="28"/>
          <w:szCs w:val="28"/>
        </w:rPr>
        <w:t xml:space="preserve"> к статье «Строительные работы». </w:t>
      </w:r>
      <w:r>
        <w:rPr>
          <w:sz w:val="28"/>
          <w:szCs w:val="28"/>
        </w:rPr>
        <w:t xml:space="preserve">При формировании локального сметного расчета в ПК «Гранд-Смета» в параметрах сметы возврат материалов поставки заказчика следующий: В главу 9 лим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тированных затрат вносится строка «Материалы поставки заказчика». В г</w:t>
      </w:r>
      <w:r>
        <w:rPr>
          <w:sz w:val="28"/>
          <w:szCs w:val="28"/>
        </w:rPr>
        <w:t xml:space="preserve">рафе «Значение» по этой строке </w:t>
      </w:r>
      <w:r>
        <w:rPr>
          <w:sz w:val="28"/>
          <w:szCs w:val="28"/>
        </w:rPr>
        <w:t xml:space="preserve"> вводится формула «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МАТЗАК». В результате материалы поставки заказчика в итоговой сумме локального сметного расчета будут исключены автоматически при условии присвоения данным ресурсам статуса «Материал заказчика» во вкладке «Ресурсы» в формате ПК «Гранд-Сметы».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формировании сводного (</w:t>
      </w:r>
      <w:r>
        <w:rPr>
          <w:sz w:val="28"/>
          <w:szCs w:val="28"/>
        </w:rPr>
        <w:t xml:space="preserve">объектного) сметного расчета материалы поставки Заказчика следует исключать по итогу главы 2 с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формулировкой «Исключение стоимости материалов поставки заказчика»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eastAsia="Times New Roman"/>
          <w:bCs/>
          <w:sz w:val="28"/>
          <w:szCs w:val="28"/>
        </w:rPr>
        <w:t xml:space="preserve">Допустимо учитывать в смете материалы поставки заказчика без указания стоимости, только с нормативным расходом со ссылкой в графе сметы «обоснование» как «давальческие материалы». 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связи с инфляционными процессами к </w:t>
      </w:r>
      <w:r>
        <w:rPr>
          <w:sz w:val="28"/>
          <w:szCs w:val="28"/>
        </w:rPr>
        <w:t xml:space="preserve">БЦ-2003</w:t>
      </w:r>
      <w:r>
        <w:rPr>
          <w:sz w:val="28"/>
          <w:szCs w:val="28"/>
        </w:rPr>
        <w:t xml:space="preserve"> применяется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поправочный </w:t>
      </w:r>
      <w:r>
        <w:rPr>
          <w:sz w:val="28"/>
          <w:szCs w:val="28"/>
        </w:rPr>
        <w:t xml:space="preserve">индекс перевода в текущие цены. </w:t>
      </w:r>
      <w:r>
        <w:rPr>
          <w:sz w:val="28"/>
          <w:szCs w:val="28"/>
        </w:rPr>
        <w:t xml:space="preserve"> Индекс перевода принимается в соответствие с действующими приказами АО «ДГК» и имеет предельное значение. </w:t>
      </w:r>
      <w:r>
        <w:rPr>
          <w:sz w:val="28"/>
          <w:szCs w:val="28"/>
        </w:rPr>
        <w:t xml:space="preserve">При фор</w:t>
      </w:r>
      <w:r>
        <w:rPr>
          <w:sz w:val="28"/>
          <w:szCs w:val="28"/>
        </w:rPr>
        <w:t xml:space="preserve">мировании сметы заказчик имеет право применить индексы перевода в размере меньше предельного, установленного приказом АО «ДГК» при наличии конкуренции на выполнение планируемых работ, при этом размер принятого индекса перевода следует указывать в техническ</w:t>
      </w:r>
      <w:r>
        <w:rPr>
          <w:sz w:val="28"/>
          <w:szCs w:val="28"/>
        </w:rPr>
        <w:t xml:space="preserve">ом задании или ведомости объемо</w:t>
      </w:r>
      <w:r>
        <w:rPr>
          <w:sz w:val="28"/>
          <w:szCs w:val="28"/>
        </w:rPr>
        <w:t xml:space="preserve">в работ.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случае необходимости выполнения по результатам дефектации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дополнительных работ к основному договору подряда, индекс</w:t>
      </w:r>
      <w:r>
        <w:rPr>
          <w:sz w:val="28"/>
          <w:szCs w:val="28"/>
        </w:rPr>
        <w:t xml:space="preserve"> перевода в текущие цены</w:t>
      </w:r>
      <w:r>
        <w:rPr>
          <w:sz w:val="28"/>
          <w:szCs w:val="28"/>
        </w:rPr>
        <w:t xml:space="preserve"> на дополнительные работы не должен превышать значение индекса</w:t>
      </w:r>
      <w:r>
        <w:rPr>
          <w:sz w:val="28"/>
          <w:szCs w:val="28"/>
        </w:rPr>
        <w:t xml:space="preserve"> перевода в текущие цены</w:t>
      </w:r>
      <w:r>
        <w:rPr>
          <w:sz w:val="28"/>
          <w:szCs w:val="28"/>
        </w:rPr>
        <w:t xml:space="preserve"> в сметных расчетах на основные работы по договору</w:t>
      </w:r>
      <w:r>
        <w:rPr>
          <w:sz w:val="28"/>
          <w:szCs w:val="28"/>
        </w:rPr>
        <w:t xml:space="preserve">, так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как и остальные ценообразующие факторы смет заключенного договора, включая понижающий коэффициент к итогам смет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его применения участником на стадии проведения конкурентных закупок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50"/>
        <w:numPr>
          <w:ilvl w:val="2"/>
          <w:numId w:val="28"/>
        </w:numPr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согласовании смет</w:t>
      </w:r>
      <w:r>
        <w:rPr>
          <w:sz w:val="28"/>
          <w:szCs w:val="28"/>
        </w:rPr>
        <w:t xml:space="preserve"> на ремонт энергооборудования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 руководствуется текущими версиями «Систематизированного обзора»</w:t>
      </w:r>
      <w:r>
        <w:rPr>
          <w:sz w:val="28"/>
          <w:szCs w:val="28"/>
        </w:rPr>
        <w:t xml:space="preserve"> и письмами АО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ДГК» , в том числе следующим:</w:t>
      </w:r>
      <w:r>
        <w:rPr>
          <w:sz w:val="28"/>
          <w:szCs w:val="28"/>
        </w:rPr>
      </w:r>
      <w:r/>
    </w:p>
    <w:p>
      <w:pPr>
        <w:pStyle w:val="950"/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5.2.12.1.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Учитывая совмещение операций и неполный объем работ при перестановке самоподъемных люлек и электрических лебедок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расценкам БЦ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0102 и БЦ21-0104 против учтенного расценками норматива </w:t>
      </w:r>
      <w:r>
        <w:rPr>
          <w:sz w:val="28"/>
          <w:szCs w:val="28"/>
        </w:rPr>
        <w:t xml:space="preserve">по установке</w:t>
      </w:r>
      <w:r>
        <w:rPr>
          <w:sz w:val="28"/>
          <w:szCs w:val="28"/>
        </w:rPr>
        <w:t xml:space="preserve"> данных механизмов, при учете работ по перестановке люлек и лебедок к расценкам и нормам затрат труда следует применять понижающий коэффициент К=0,4 с обоснованием «перестановка люлек, лебедок».</w:t>
      </w:r>
      <w:r>
        <w:rPr>
          <w:sz w:val="28"/>
          <w:szCs w:val="28"/>
        </w:rPr>
      </w:r>
      <w:r/>
    </w:p>
    <w:p>
      <w:pPr>
        <w:pStyle w:val="950"/>
        <w:ind w:left="0" w:firstLine="567"/>
        <w:spacing w:lineRule="auto" w:line="36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5.2.12.2.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как работы по ремонту оборудования производятся на пристанционном узле, согласно обзора ЦКБ «Энергоремонт» за 2007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од применение коэффициента К=</w:t>
      </w:r>
      <w:r>
        <w:rPr>
          <w:sz w:val="28"/>
          <w:szCs w:val="28"/>
        </w:rPr>
        <w:t xml:space="preserve">1,2 с обоснованием «работа под напряжением в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условиях электрических сетей» неправомерно.</w:t>
      </w:r>
      <w:r>
        <w:rPr>
          <w:sz w:val="28"/>
          <w:szCs w:val="28"/>
          <w:highlight w:val="none"/>
        </w:rPr>
      </w:r>
      <w:r/>
    </w:p>
    <w:p>
      <w:pPr>
        <w:pStyle w:val="950"/>
        <w:ind w:left="0" w:firstLine="567"/>
        <w:spacing w:lineRule="auto" w:line="36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5.2.12.3. При учете расценки по ремонту тепловой изоляции отдельными участками по расценке БЦ 15-01091501 следует иметь ввиду, что данную расценку можно применять при замене тепловой изоляции в одном месте площадью не более 1</w:t>
      </w:r>
      <m:oMath>
        <m:sSup>
          <m:sSupPr>
            <m:ctrlPr>
              <w:rPr>
                <w:rFonts w:ascii="Cambria Math" w:hAnsi="Cambria Math" w:cs="Cambria Math" w:eastAsia="Cambria Math"/>
                <w:i/>
                <w:sz w:val="24"/>
                <w:szCs w:val="28"/>
                <w:highlight w:val="none"/>
              </w:rPr>
            </m:ctrlPr>
          </m:sSupPr>
          <m:e>
            <m:r>
              <w:rPr>
                <w:rFonts w:ascii="Cambria Math" w:hAnsi="Cambria Math" w:cs="Cambria Math" w:eastAsia="Cambria Math"/>
              </w:rPr>
              <m:rPr/>
              <m:t>м</m:t>
            </m:r>
          </m:e>
          <m:sup>
            <m:r>
              <w:rPr>
                <w:rFonts w:ascii="Cambria Math" w:hAnsi="Cambria Math" w:cs="Cambria Math" w:eastAsia="Cambria Math" w:hint="default"/>
                <w:sz w:val="24"/>
                <w:szCs w:val="24"/>
                <w:highlight w:val="none"/>
              </w:rPr>
              <m:rPr/>
              <m:t>2</m:t>
            </m:r>
          </m:sup>
        </m:sSup>
      </m:oMath>
      <w:r>
        <w:rPr>
          <w:sz w:val="28"/>
          <w:szCs w:val="28"/>
          <w:highlight w:val="none"/>
        </w:rPr>
        <w:t xml:space="preserve"> на плоских поверхностях и не более 1 м/п на трубопроводах и фасонных частях.</w:t>
      </w:r>
      <w:r>
        <w:rPr>
          <w:sz w:val="28"/>
          <w:szCs w:val="28"/>
          <w:highlight w:val="none"/>
        </w:rPr>
        <w:t xml:space="preserve"> В данной расценке учтены все типы изоляиии, включая штукатурную сетку и покровный слой. </w:t>
      </w:r>
      <w:r>
        <w:rPr>
          <w:sz w:val="28"/>
          <w:szCs w:val="28"/>
          <w:highlight w:val="none"/>
        </w:rPr>
      </w:r>
      <w:r/>
    </w:p>
    <w:p>
      <w:pPr>
        <w:ind w:left="0" w:right="0" w:firstLin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sz w:val="28"/>
          <w:szCs w:val="28"/>
          <w:highlight w:val="none"/>
        </w:rPr>
        <w:t xml:space="preserve">5.2.12.4.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При  применении расценок на изготовление, установку и снятие металлоконструкций вспомогательного назначения  учитываются изменения по «Дополнению №1»,согласно которым существует разделение на конструкции каркаса котла и другого оборудования и вспомогатель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ные металлоконструкции по разделу 0803.</w:t>
      </w:r>
      <w:r/>
    </w:p>
    <w:p>
      <w:pPr>
        <w:ind w:left="0" w:right="0" w:firstLine="0"/>
        <w:rPr>
          <w:rFonts w:ascii="Times New Roman" w:hAnsi="Times New Roman" w:cs="Times New Roman" w:eastAsia="Times New Roman"/>
          <w:color w:val="000000"/>
          <w:sz w:val="28"/>
          <w:szCs w:val="28"/>
          <w:highlight w:val="non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szCs w:val="28"/>
        </w:rPr>
        <w:t xml:space="preserve">5.2.12.5.</w:t>
      </w:r>
      <w:r>
        <w:rPr>
          <w:rFonts w:ascii="Open Sans" w:hAnsi="Open Sans" w:cs="Open Sans" w:eastAsia="Open Sans"/>
          <w:color w:val="000000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При  применении расценок на изготовление, установку и снятие металлоконструкций указывать наименование, назначение конструкций и количество изготовленных узлов (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деталей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).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u w:val="none"/>
        </w:rPr>
        <w:t xml:space="preserve">Расценку на замену металлоконструкций учитывать  по итоговому весу укрупненно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u w:val="none"/>
        </w:rPr>
        <w:t xml:space="preserve">й сборки изготовленных узлов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none"/>
          <w:u w:val="none"/>
        </w:rPr>
        <w:t xml:space="preserve">, подлежащих монтажу.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none"/>
        </w:rPr>
      </w:r>
      <w:r/>
    </w:p>
    <w:p>
      <w:pPr>
        <w:pStyle w:val="950"/>
        <w:ind w:left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50"/>
        <w:numPr>
          <w:ilvl w:val="1"/>
          <w:numId w:val="18"/>
        </w:numPr>
        <w:ind w:left="993" w:hanging="425"/>
        <w:spacing w:lineRule="auto" w:line="360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Определение стоимости работ по сборникам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ГЭСН</w:t>
      </w:r>
      <w:r>
        <w:rPr>
          <w:b/>
          <w:sz w:val="28"/>
          <w:szCs w:val="28"/>
          <w:highlight w:val="white"/>
        </w:rPr>
        <w:t xml:space="preserve"> (ФЕР)</w:t>
      </w:r>
      <w:r>
        <w:rPr>
          <w:b/>
          <w:sz w:val="28"/>
          <w:szCs w:val="28"/>
          <w:highlight w:val="white"/>
        </w:rPr>
      </w:r>
      <w:r/>
    </w:p>
    <w:p>
      <w:pPr>
        <w:pStyle w:val="950"/>
        <w:numPr>
          <w:ilvl w:val="2"/>
          <w:numId w:val="18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При составлении смет</w:t>
      </w:r>
      <w:r>
        <w:rPr>
          <w:rFonts w:eastAsia="Times New Roman"/>
          <w:bCs/>
          <w:sz w:val="28"/>
          <w:szCs w:val="28"/>
        </w:rPr>
        <w:t xml:space="preserve">ной документации на ремонтно-строительные, строительные и специальные строительные, монтажные и пусконаладочные работы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используются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сборники </w:t>
      </w:r>
      <w:r>
        <w:rPr>
          <w:rFonts w:eastAsia="Times New Roman"/>
          <w:bCs/>
          <w:sz w:val="28"/>
          <w:szCs w:val="28"/>
        </w:rPr>
        <w:t xml:space="preserve">ФСНБ 2022</w:t>
      </w:r>
      <w:r>
        <w:rPr>
          <w:rFonts w:eastAsia="Times New Roman"/>
          <w:bCs/>
          <w:sz w:val="28"/>
          <w:szCs w:val="28"/>
        </w:rPr>
        <w:t xml:space="preserve"> актуальной редакции</w:t>
      </w:r>
      <w:r>
        <w:rPr>
          <w:rFonts w:eastAsia="Times New Roman"/>
          <w:bCs/>
          <w:sz w:val="28"/>
          <w:szCs w:val="28"/>
        </w:rPr>
        <w:t xml:space="preserve">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18"/>
        </w:numPr>
        <w:ind w:left="0" w:firstLine="567"/>
        <w:spacing w:lineRule="auto" w:line="360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  <w:highlight w:val="none"/>
        </w:rPr>
        <w:t xml:space="preserve">Применение  ФСНБ 2001 по сборникам ФЕР 2020 с изм 1-9  допустимо в случае учета данных сборников в уже заключенных договорах или наличия сметной документации в сос</w:t>
      </w:r>
      <w:r>
        <w:rPr>
          <w:rFonts w:eastAsia="Times New Roman"/>
          <w:bCs/>
          <w:sz w:val="28"/>
          <w:szCs w:val="28"/>
          <w:highlight w:val="none"/>
        </w:rPr>
        <w:t xml:space="preserve">таве ранее разработанных (до введения ресурсно-индексного метода расчетов ) проектными институтами проектов. В случае если проектными институтами были  применены сборники ФЕР более ранней редакции чем ФЕР 2020 с изм 1-9, использование таких смет запрещено.</w:t>
      </w:r>
      <w:r>
        <w:rPr>
          <w:rFonts w:eastAsia="Times New Roman"/>
          <w:sz w:val="28"/>
          <w:szCs w:val="28"/>
        </w:rPr>
      </w:r>
      <w:r/>
    </w:p>
    <w:p>
      <w:pPr>
        <w:pStyle w:val="950"/>
        <w:numPr>
          <w:ilvl w:val="2"/>
          <w:numId w:val="18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При составлении сметной документации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в ее состав включается перечень материальных ресурсов независимо от того, кто их планирует/приобретает </w:t>
      </w:r>
      <w:r>
        <w:rPr>
          <w:rFonts w:eastAsia="Times New Roman"/>
          <w:bCs/>
          <w:sz w:val="28"/>
          <w:szCs w:val="28"/>
        </w:rPr>
        <w:t xml:space="preserve">—</w:t>
      </w:r>
      <w:r>
        <w:rPr>
          <w:rFonts w:eastAsia="Times New Roman"/>
          <w:bCs/>
          <w:sz w:val="28"/>
          <w:szCs w:val="28"/>
        </w:rPr>
        <w:t xml:space="preserve"> заказчик или подрядчик. В случае поставки материалов заказчиком, за итогом сметы указывается возврат материалов по тем же ценам, по которым они включены в объем строительно-монтажных работ, с обоснованием исключения (давальческое сырье).</w:t>
      </w:r>
      <w:r>
        <w:rPr>
          <w:rFonts w:eastAsia="Times New Roman"/>
          <w:bCs/>
          <w:sz w:val="28"/>
          <w:szCs w:val="28"/>
        </w:rPr>
        <w:t xml:space="preserve"> Допустимо учитывать в смете материалы поставки заказчика без указания стоимости, только с нормативным расходом со ссылкой в графе сметы «обоснование» как «давальческие материалы». </w:t>
      </w:r>
      <w:r>
        <w:rPr>
          <w:rFonts w:eastAsia="Times New Roman"/>
          <w:bCs/>
          <w:sz w:val="28"/>
          <w:szCs w:val="28"/>
        </w:rPr>
        <w:t xml:space="preserve">В случае использования в смете давальческих материалов, в том числе учтенных по расценкам включенным в ФСНБ, затраты по доставке давальческих материало</w:t>
      </w:r>
      <w:r>
        <w:rPr>
          <w:rFonts w:eastAsia="Times New Roman"/>
          <w:bCs/>
          <w:sz w:val="28"/>
          <w:szCs w:val="28"/>
        </w:rPr>
        <w:t xml:space="preserve">в силами подрядчика допустимо учитывать в сметах и актах выполненных работ дополнительно, исходя из расстояния перевозки, кроме доставки давальческих материалов от приобъектного склада к месту производства работ, учтенной в расценках на монтаж конструкций.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18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Накладные расходы в локальных сметных расчетах определяются от фонда оплаты труда на основе </w:t>
      </w:r>
      <w:r>
        <w:rPr>
          <w:rFonts w:eastAsia="Times New Roman"/>
          <w:bCs/>
          <w:sz w:val="28"/>
          <w:szCs w:val="28"/>
        </w:rPr>
        <w:t xml:space="preserve">актуальных документов, определяющих норматив накладных расходов</w:t>
      </w:r>
      <w:r>
        <w:rPr>
          <w:rFonts w:eastAsia="Times New Roman"/>
          <w:bCs/>
          <w:sz w:val="28"/>
          <w:szCs w:val="28"/>
        </w:rPr>
        <w:t xml:space="preserve"> на момент составления смет.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18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Сметная прибыль в локальных сметных расчетах в зависимости от источника финансирования определяется от фонда оплаты труда в размере: 30% от ФОТ для ремонтных работ и 40% от ФОТ для строительн</w:t>
      </w:r>
      <w:r>
        <w:rPr>
          <w:rFonts w:eastAsia="Times New Roman"/>
          <w:bCs/>
          <w:sz w:val="28"/>
          <w:szCs w:val="28"/>
        </w:rPr>
        <w:t xml:space="preserve">о</w:t>
      </w:r>
      <w:r>
        <w:rPr>
          <w:rFonts w:eastAsia="Times New Roman"/>
          <w:bCs/>
          <w:sz w:val="28"/>
          <w:szCs w:val="28"/>
        </w:rPr>
        <w:t xml:space="preserve">-</w:t>
      </w:r>
      <w:r>
        <w:rPr>
          <w:rFonts w:eastAsia="Times New Roman"/>
          <w:bCs/>
          <w:sz w:val="28"/>
          <w:szCs w:val="28"/>
        </w:rPr>
        <w:t xml:space="preserve">монтажных</w:t>
      </w:r>
      <w:r>
        <w:rPr>
          <w:rFonts w:eastAsia="Times New Roman"/>
          <w:bCs/>
          <w:sz w:val="28"/>
          <w:szCs w:val="28"/>
        </w:rPr>
        <w:t xml:space="preserve"> и работ по техперевооружению и реконструкции.</w:t>
      </w:r>
      <w:r>
        <w:rPr>
          <w:rFonts w:eastAsia="Times New Roman"/>
          <w:bCs/>
          <w:sz w:val="28"/>
          <w:szCs w:val="28"/>
        </w:rPr>
        <w:t xml:space="preserve"> Для пусконаладочных работ норматив сметной прибыли учитывать в размере 36% от ФОТ независимо от источника финансирования.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5.3.6.  Размер средств на возведение титульных временных зданий и</w:t>
      </w:r>
      <w:r>
        <w:rPr>
          <w:rFonts w:eastAsia="Times New Roman"/>
          <w:bCs/>
          <w:sz w:val="28"/>
          <w:szCs w:val="28"/>
        </w:rPr>
        <w:t xml:space="preserve"> </w:t>
      </w:r>
      <w:r>
        <w:rPr>
          <w:rFonts w:eastAsia="Times New Roman"/>
          <w:bCs/>
          <w:sz w:val="28"/>
          <w:szCs w:val="28"/>
        </w:rPr>
        <w:t xml:space="preserve">сооружений следует определять по </w:t>
      </w:r>
      <w:r>
        <w:rPr>
          <w:rFonts w:eastAsia="Times New Roman"/>
          <w:bCs/>
          <w:sz w:val="28"/>
          <w:szCs w:val="28"/>
        </w:rPr>
        <w:t xml:space="preserve">Методике, утвержденной приказом Министерства строительства и ЖКХ РФ от 19.06.2020 №332/пр</w:t>
      </w:r>
      <w:r>
        <w:rPr>
          <w:rFonts w:eastAsia="Times New Roman"/>
          <w:bCs/>
          <w:sz w:val="28"/>
          <w:szCs w:val="28"/>
        </w:rPr>
        <w:t xml:space="preserve">.</w:t>
      </w:r>
      <w:r>
        <w:rPr>
          <w:sz w:val="28"/>
          <w:szCs w:val="28"/>
        </w:rPr>
        <w:t xml:space="preserve"> При оплате работ за фактически выполненные объемы в актах приемки выполненных работ данные затраты </w:t>
      </w:r>
      <w:r>
        <w:rPr>
          <w:sz w:val="28"/>
          <w:szCs w:val="28"/>
        </w:rPr>
        <w:t xml:space="preserve">в процентах </w:t>
      </w:r>
      <w:r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оплачиваются</w:t>
      </w:r>
      <w:r>
        <w:rPr>
          <w:sz w:val="28"/>
          <w:szCs w:val="28"/>
        </w:rPr>
        <w:t xml:space="preserve">. Если иное не оговорено условиями заключенного договора. В случае возникновения затрат</w:t>
      </w:r>
      <w:r>
        <w:rPr>
          <w:sz w:val="28"/>
          <w:szCs w:val="28"/>
        </w:rPr>
        <w:t xml:space="preserve"> на возведение титульных зданий и </w:t>
      </w:r>
      <w:r>
        <w:rPr>
          <w:sz w:val="28"/>
          <w:szCs w:val="28"/>
        </w:rPr>
        <w:t xml:space="preserve">сооружений в</w:t>
      </w:r>
      <w:r>
        <w:rPr>
          <w:sz w:val="28"/>
          <w:szCs w:val="28"/>
        </w:rPr>
        <w:t xml:space="preserve"> ходе производства работ они обосновываются актами, на основании которых составляется сметная документация. Ценообразующие факторы на дополнительные работы не должен превышать значений,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учтенных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сметных расчетах на основные работы по договору.</w:t>
      </w:r>
      <w:r>
        <w:rPr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5.3.7. Затраты на устройство временных нетитульных зданий и сооружений учитываются нормами накладных расходов и в сметную документацию дополнительно не включаются.</w:t>
      </w:r>
      <w:r>
        <w:rPr>
          <w:rFonts w:eastAsia="Times New Roman"/>
          <w:bCs/>
          <w:sz w:val="28"/>
          <w:szCs w:val="28"/>
        </w:rPr>
        <w:t xml:space="preserve"> Перечень нетитульных ЗиС  приведен в </w:t>
      </w:r>
      <w:r>
        <w:rPr>
          <w:rFonts w:eastAsia="Times New Roman"/>
          <w:bCs/>
          <w:sz w:val="28"/>
          <w:szCs w:val="28"/>
        </w:rPr>
        <w:t xml:space="preserve">Методике, утвержденной приказом Министерства строительства и ЖКХ РФ от 19.06.2020 №332/пр</w:t>
      </w:r>
      <w:r>
        <w:rPr>
          <w:rFonts w:eastAsia="Times New Roman"/>
          <w:bCs/>
          <w:sz w:val="28"/>
          <w:szCs w:val="28"/>
        </w:rPr>
        <w:t xml:space="preserve">. Так, мобильные ( переставные)  заборы и ограждения, не имеющие защитного козырька и тротуара, относятся к нетитульным ЗиС и учтены нормативами накладных расходов.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ind w:left="0" w:firstLine="0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5.3.8. Возмещение дополнительных затрат при производстве строительно-монтажных работ в зимнее время при расчетах между заказчиком и подрядч</w:t>
      </w:r>
      <w:r>
        <w:rPr>
          <w:rFonts w:eastAsia="Times New Roman"/>
          <w:bCs/>
          <w:sz w:val="28"/>
          <w:szCs w:val="28"/>
        </w:rPr>
        <w:t xml:space="preserve">иком производится на основании актуальных редакций Методик по определению норматива затрат по зимнему удорожанию.</w:t>
      </w:r>
      <w:r>
        <w:rPr>
          <w:rFonts w:eastAsia="Times New Roman"/>
          <w:bCs/>
          <w:sz w:val="28"/>
          <w:szCs w:val="28"/>
        </w:rPr>
        <w:t xml:space="preserve"> При выполнении работ только в летний период указанные средства не должны включаться в сметную документацию.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31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Сметная документация на пусконаладочные работы составляется в порядке, предусмотренном </w:t>
      </w:r>
      <w:r>
        <w:rPr>
          <w:rFonts w:eastAsia="Times New Roman"/>
          <w:bCs/>
          <w:sz w:val="28"/>
          <w:szCs w:val="28"/>
        </w:rPr>
        <w:t xml:space="preserve">актуальными методическими рекомендациями по сборникам </w:t>
      </w:r>
      <w:r>
        <w:rPr>
          <w:rFonts w:eastAsia="Times New Roman"/>
          <w:bCs/>
          <w:sz w:val="28"/>
          <w:szCs w:val="28"/>
        </w:rPr>
        <w:t xml:space="preserve">ГЭСНп,</w:t>
      </w:r>
      <w:r>
        <w:rPr>
          <w:rFonts w:eastAsia="Times New Roman"/>
          <w:bCs/>
          <w:sz w:val="28"/>
          <w:szCs w:val="28"/>
        </w:rPr>
        <w:t xml:space="preserve"> которые</w:t>
      </w:r>
      <w:r>
        <w:rPr>
          <w:rFonts w:eastAsia="Times New Roman"/>
          <w:bCs/>
          <w:sz w:val="28"/>
          <w:szCs w:val="28"/>
        </w:rPr>
        <w:t xml:space="preserve"> явля</w:t>
      </w:r>
      <w:r>
        <w:rPr>
          <w:rFonts w:eastAsia="Times New Roman"/>
          <w:bCs/>
          <w:sz w:val="28"/>
          <w:szCs w:val="28"/>
        </w:rPr>
        <w:t xml:space="preserve">ю</w:t>
      </w:r>
      <w:r>
        <w:rPr>
          <w:rFonts w:eastAsia="Times New Roman"/>
          <w:bCs/>
          <w:sz w:val="28"/>
          <w:szCs w:val="28"/>
        </w:rPr>
        <w:t xml:space="preserve">тся приоритетным</w:t>
      </w:r>
      <w:r>
        <w:rPr>
          <w:rFonts w:eastAsia="Times New Roman"/>
          <w:bCs/>
          <w:sz w:val="28"/>
          <w:szCs w:val="28"/>
        </w:rPr>
        <w:t xml:space="preserve">и</w:t>
      </w:r>
      <w:r>
        <w:rPr>
          <w:rFonts w:eastAsia="Times New Roman"/>
          <w:bCs/>
          <w:sz w:val="28"/>
          <w:szCs w:val="28"/>
        </w:rPr>
        <w:t xml:space="preserve"> над ведомственными сборниками при составлении сметной документации на пусконаладочные работы и испытания.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На стадии формирования смет допустимо определять затраты на проведение </w:t>
      </w:r>
      <w:r>
        <w:rPr>
          <w:rFonts w:eastAsia="Times New Roman"/>
          <w:bCs/>
          <w:sz w:val="28"/>
          <w:szCs w:val="28"/>
        </w:rPr>
        <w:t xml:space="preserve">пусконаладочных </w:t>
      </w:r>
      <w:r>
        <w:rPr>
          <w:rFonts w:eastAsia="Times New Roman"/>
          <w:bCs/>
          <w:sz w:val="28"/>
          <w:szCs w:val="28"/>
        </w:rPr>
        <w:t xml:space="preserve">работ (</w:t>
      </w:r>
      <w:r>
        <w:rPr>
          <w:rFonts w:eastAsia="Times New Roman"/>
          <w:bCs/>
          <w:sz w:val="28"/>
          <w:szCs w:val="28"/>
        </w:rPr>
        <w:t xml:space="preserve">ПНР</w:t>
      </w:r>
      <w:r>
        <w:rPr>
          <w:rFonts w:eastAsia="Times New Roman"/>
          <w:bCs/>
          <w:sz w:val="28"/>
          <w:szCs w:val="28"/>
        </w:rPr>
        <w:t xml:space="preserve">)</w:t>
      </w:r>
      <w:r>
        <w:rPr>
          <w:rFonts w:eastAsia="Times New Roman"/>
          <w:bCs/>
          <w:sz w:val="28"/>
          <w:szCs w:val="28"/>
        </w:rPr>
        <w:t xml:space="preserve"> на основании данных конъюнктурного анализа</w:t>
      </w:r>
      <w:r>
        <w:rPr>
          <w:rFonts w:eastAsia="Times New Roman"/>
          <w:bCs/>
          <w:sz w:val="28"/>
          <w:szCs w:val="28"/>
        </w:rPr>
        <w:t xml:space="preserve"> при отсутствии разработанной программы пусконаладочных работ, при этом в техническое задание или в проект </w:t>
      </w:r>
      <w:r>
        <w:rPr>
          <w:rFonts w:eastAsia="Times New Roman"/>
          <w:bCs/>
          <w:sz w:val="28"/>
          <w:szCs w:val="28"/>
        </w:rPr>
        <w:t xml:space="preserve">договора вно</w:t>
      </w:r>
      <w:r>
        <w:rPr>
          <w:rFonts w:eastAsia="Times New Roman"/>
          <w:bCs/>
          <w:sz w:val="28"/>
          <w:szCs w:val="28"/>
        </w:rPr>
        <w:t xml:space="preserve">сится соответствующее требование по </w:t>
      </w:r>
      <w:r>
        <w:rPr>
          <w:rFonts w:eastAsia="Times New Roman"/>
          <w:bCs/>
          <w:sz w:val="28"/>
          <w:szCs w:val="28"/>
        </w:rPr>
        <w:t xml:space="preserve">обязательному составлению подрядчиком локальных смет на выполнение ПНР после разработки согласованной с заказчиком програ</w:t>
      </w:r>
      <w:r>
        <w:rPr>
          <w:rFonts w:eastAsia="Times New Roman"/>
          <w:bCs/>
          <w:sz w:val="28"/>
          <w:szCs w:val="28"/>
        </w:rPr>
        <w:t xml:space="preserve">ммы ПНР в пределах учтенного при заключении Договора лимита. В случае превышения суммы затрат в разработанных подрядчиком сметах к итогам смет применяется поправочный коэффициент, учитывающий не превышение запланированного лимита средств на проведение ПНР.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31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При определении стоимости проектно-изыскательских работ (проектная и рабочая документация) используются действующие сборники </w:t>
      </w:r>
      <w:r>
        <w:rPr>
          <w:rFonts w:eastAsia="Times New Roman"/>
          <w:bCs/>
          <w:sz w:val="28"/>
          <w:szCs w:val="28"/>
        </w:rPr>
        <w:t xml:space="preserve">базовых </w:t>
      </w:r>
      <w:r>
        <w:rPr>
          <w:rFonts w:eastAsia="Times New Roman"/>
          <w:bCs/>
          <w:sz w:val="28"/>
          <w:szCs w:val="28"/>
        </w:rPr>
        <w:t xml:space="preserve">цен, рекомендованные Министерством регионального развития РФ,</w:t>
      </w:r>
      <w:r>
        <w:rPr>
          <w:rFonts w:eastAsia="Times New Roman"/>
          <w:bCs/>
          <w:sz w:val="28"/>
          <w:szCs w:val="28"/>
        </w:rPr>
        <w:t xml:space="preserve"> Министерством строительства и ЖКХ,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внесенные в </w:t>
      </w:r>
      <w:r>
        <w:rPr>
          <w:rFonts w:eastAsia="Times New Roman"/>
          <w:bCs/>
          <w:sz w:val="28"/>
          <w:szCs w:val="28"/>
        </w:rPr>
        <w:t xml:space="preserve">Федеральный реестр сметных нормативов</w:t>
      </w:r>
      <w:r>
        <w:rPr>
          <w:rFonts w:eastAsia="Times New Roman"/>
          <w:bCs/>
          <w:sz w:val="28"/>
          <w:szCs w:val="28"/>
        </w:rPr>
        <w:t xml:space="preserve">.</w:t>
      </w:r>
      <w:r>
        <w:rPr>
          <w:rFonts w:eastAsia="Times New Roman"/>
          <w:bCs/>
          <w:sz w:val="28"/>
          <w:szCs w:val="28"/>
        </w:rPr>
        <w:t xml:space="preserve"> Индексы перевода в текущие цены к сборникам базовых цен учитывать по данным Министерства строительства и ЖКХ РФ, публикуемых на момент составления сметной документации, если иное не оговорено в задании на проектирование. </w:t>
      </w:r>
      <w:r>
        <w:rPr>
          <w:rFonts w:eastAsia="Times New Roman"/>
          <w:bCs/>
          <w:sz w:val="28"/>
          <w:szCs w:val="28"/>
        </w:rPr>
        <w:t xml:space="preserve">В случае отсутствия прямых расценок на планируемые работы по указанным сборникам допускается составление сметы по форме 3</w:t>
      </w:r>
      <w:r>
        <w:rPr>
          <w:rFonts w:eastAsia="Times New Roman"/>
          <w:bCs/>
          <w:sz w:val="28"/>
          <w:szCs w:val="28"/>
        </w:rPr>
        <w:t xml:space="preserve"> </w:t>
      </w:r>
      <w:r>
        <w:rPr>
          <w:rFonts w:eastAsia="Times New Roman"/>
          <w:bCs/>
          <w:sz w:val="28"/>
          <w:szCs w:val="28"/>
        </w:rPr>
        <w:t xml:space="preserve">П (на основании тр</w:t>
      </w:r>
      <w:r>
        <w:rPr>
          <w:rFonts w:eastAsia="Times New Roman"/>
          <w:bCs/>
          <w:sz w:val="28"/>
          <w:szCs w:val="28"/>
        </w:rPr>
        <w:t xml:space="preserve">у</w:t>
      </w:r>
      <w:r>
        <w:rPr>
          <w:rFonts w:eastAsia="Times New Roman"/>
          <w:bCs/>
          <w:sz w:val="28"/>
          <w:szCs w:val="28"/>
        </w:rPr>
        <w:t xml:space="preserve">дозатрат)</w:t>
      </w:r>
      <w:r>
        <w:rPr>
          <w:rFonts w:eastAsia="Times New Roman"/>
          <w:bCs/>
          <w:sz w:val="28"/>
          <w:szCs w:val="28"/>
        </w:rPr>
        <w:t xml:space="preserve">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50"/>
        <w:numPr>
          <w:ilvl w:val="2"/>
          <w:numId w:val="31"/>
        </w:numPr>
        <w:ind w:left="0" w:firstLine="567"/>
        <w:spacing w:lineRule="auto" w:line="36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Расчет затрат на проведение проектно-сметной, технической, экологической и других видов экспертиз проводится на основании соответствующих Постановлений Правительства РФ, министерств и ведомств.</w:t>
      </w:r>
      <w:r>
        <w:rPr>
          <w:rFonts w:eastAsia="Times New Roman"/>
          <w:bCs/>
          <w:sz w:val="28"/>
          <w:szCs w:val="28"/>
        </w:rPr>
      </w:r>
      <w:r/>
    </w:p>
    <w:p>
      <w:pPr>
        <w:pStyle w:val="940"/>
        <w:ind w:firstLine="567"/>
      </w:pPr>
      <w:r/>
      <w:r/>
    </w:p>
    <w:p>
      <w:pPr>
        <w:pStyle w:val="941"/>
        <w:ind w:left="0" w:firstLine="0"/>
        <w:jc w:val="center"/>
        <w:spacing w:before="200"/>
      </w:pPr>
      <w:r/>
      <w:bookmarkStart w:id="6" w:name="_Toc364930903"/>
      <w:r/>
      <w:bookmarkStart w:id="7" w:name="_Toc65588186"/>
      <w:r>
        <w:t xml:space="preserve">РЕКОМЕНДАЦИИ ПО СОСТАВЛЕНИЮ</w:t>
      </w:r>
      <w:r>
        <w:br/>
      </w:r>
      <w:r>
        <w:t xml:space="preserve">ТЕХНИЧЕСКИХ ЗАДАНИЙ ПРИ ВЫПОЛНЕНИИ</w:t>
      </w:r>
      <w:r>
        <w:br/>
      </w:r>
      <w:r>
        <w:t xml:space="preserve">РАБОТ ПОД «КЛЮЧ»</w:t>
      </w:r>
      <w:bookmarkEnd w:id="6"/>
      <w:r/>
      <w:bookmarkEnd w:id="7"/>
      <w:r/>
      <w:r/>
    </w:p>
    <w:p>
      <w:pPr>
        <w:pStyle w:val="940"/>
        <w:ind w:firstLine="567"/>
        <w:spacing w:lineRule="auto" w:line="360"/>
        <w:rPr>
          <w:rFonts w:eastAsia="Times New Roman"/>
          <w:bCs/>
          <w:sz w:val="28"/>
          <w:szCs w:val="24"/>
        </w:rPr>
      </w:pPr>
      <w:r>
        <w:rPr>
          <w:rFonts w:eastAsia="Times New Roman"/>
          <w:bCs/>
          <w:sz w:val="28"/>
          <w:szCs w:val="24"/>
        </w:rPr>
        <w:t xml:space="preserve">При проведении закупки «под ключ» профильной службе </w:t>
      </w:r>
      <w:r>
        <w:rPr>
          <w:rFonts w:eastAsia="Times New Roman"/>
          <w:bCs/>
          <w:sz w:val="28"/>
          <w:szCs w:val="24"/>
        </w:rPr>
        <w:t xml:space="preserve">рекомендуется в</w:t>
      </w:r>
      <w:r>
        <w:rPr>
          <w:rFonts w:eastAsia="Times New Roman"/>
          <w:bCs/>
          <w:sz w:val="28"/>
          <w:szCs w:val="24"/>
        </w:rPr>
        <w:t xml:space="preserve"> техническом задании отражать сл</w:t>
      </w:r>
      <w:r>
        <w:rPr>
          <w:rFonts w:eastAsia="Times New Roman"/>
          <w:bCs/>
          <w:sz w:val="28"/>
          <w:szCs w:val="24"/>
        </w:rPr>
        <w:t xml:space="preserve">едующие требования к участнику:</w:t>
      </w:r>
      <w:r>
        <w:rPr>
          <w:rFonts w:eastAsia="Times New Roman"/>
          <w:bCs/>
          <w:sz w:val="28"/>
          <w:szCs w:val="24"/>
        </w:rPr>
      </w:r>
      <w:r/>
    </w:p>
    <w:p>
      <w:pPr>
        <w:pStyle w:val="950"/>
        <w:numPr>
          <w:ilvl w:val="1"/>
          <w:numId w:val="33"/>
        </w:numPr>
        <w:ind w:left="0" w:firstLine="567"/>
        <w:spacing w:lineRule="auto" w:line="360"/>
        <w:rPr>
          <w:rFonts w:eastAsia="Times New Roman"/>
          <w:bCs/>
          <w:sz w:val="28"/>
          <w:szCs w:val="24"/>
        </w:rPr>
      </w:pPr>
      <w:r>
        <w:rPr>
          <w:rFonts w:eastAsia="Times New Roman"/>
          <w:bCs/>
          <w:sz w:val="28"/>
          <w:szCs w:val="24"/>
        </w:rPr>
        <w:t xml:space="preserve">Участник </w:t>
      </w:r>
      <w:r>
        <w:rPr>
          <w:rFonts w:eastAsia="Times New Roman"/>
          <w:bCs/>
          <w:sz w:val="28"/>
          <w:szCs w:val="24"/>
        </w:rPr>
        <w:t xml:space="preserve">высылает только сметный расчет на разработку </w:t>
      </w:r>
      <w:r>
        <w:rPr>
          <w:rFonts w:eastAsia="Times New Roman"/>
          <w:bCs/>
          <w:sz w:val="28"/>
          <w:szCs w:val="24"/>
        </w:rPr>
        <w:t xml:space="preserve">проектно-сметной документации (</w:t>
      </w:r>
      <w:r>
        <w:rPr>
          <w:rFonts w:eastAsia="Times New Roman"/>
          <w:bCs/>
          <w:sz w:val="28"/>
          <w:szCs w:val="24"/>
        </w:rPr>
        <w:t xml:space="preserve">ПСД</w:t>
      </w:r>
      <w:r>
        <w:rPr>
          <w:rFonts w:eastAsia="Times New Roman"/>
          <w:bCs/>
          <w:sz w:val="28"/>
          <w:szCs w:val="24"/>
        </w:rPr>
        <w:t xml:space="preserve">)</w:t>
      </w:r>
      <w:r>
        <w:rPr>
          <w:rFonts w:eastAsia="Times New Roman"/>
          <w:bCs/>
          <w:sz w:val="28"/>
          <w:szCs w:val="24"/>
        </w:rPr>
        <w:t xml:space="preserve"> по форме 3</w:t>
      </w:r>
      <w:r>
        <w:rPr>
          <w:rFonts w:eastAsia="Times New Roman"/>
          <w:bCs/>
          <w:sz w:val="28"/>
          <w:szCs w:val="24"/>
        </w:rPr>
        <w:t xml:space="preserve"> </w:t>
      </w:r>
      <w:r>
        <w:rPr>
          <w:rFonts w:eastAsia="Times New Roman"/>
          <w:bCs/>
          <w:sz w:val="28"/>
          <w:szCs w:val="24"/>
        </w:rPr>
        <w:t xml:space="preserve">П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или на основании расценок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СБЦ на проектные работы, которая будет являться приложением к договору.</w:t>
      </w:r>
      <w:r>
        <w:rPr>
          <w:rFonts w:eastAsia="Times New Roman"/>
          <w:bCs/>
          <w:sz w:val="28"/>
          <w:szCs w:val="24"/>
        </w:rPr>
        <w:t xml:space="preserve"> В случае составления сметы по форме 3</w:t>
      </w:r>
      <w:r>
        <w:rPr>
          <w:rFonts w:eastAsia="Times New Roman"/>
          <w:bCs/>
          <w:sz w:val="28"/>
          <w:szCs w:val="24"/>
        </w:rPr>
        <w:t xml:space="preserve"> </w:t>
      </w:r>
      <w:r>
        <w:rPr>
          <w:rFonts w:eastAsia="Times New Roman"/>
          <w:bCs/>
          <w:sz w:val="28"/>
          <w:szCs w:val="24"/>
        </w:rPr>
        <w:t xml:space="preserve">П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(по трудозатратам</w:t>
      </w:r>
      <w:r>
        <w:rPr>
          <w:rFonts w:eastAsia="Times New Roman"/>
          <w:bCs/>
          <w:sz w:val="28"/>
          <w:szCs w:val="24"/>
        </w:rPr>
        <w:t xml:space="preserve">) на стадии заключения договора </w:t>
      </w:r>
      <w:r>
        <w:rPr>
          <w:rFonts w:eastAsia="Times New Roman"/>
          <w:bCs/>
          <w:sz w:val="28"/>
          <w:szCs w:val="24"/>
        </w:rPr>
        <w:t xml:space="preserve"> участник, признанный победителем по результатам конкурентной процедуры,  обязан предоставить справку, заверенную руководителем организации и главным бухгалтером, подтверждающую</w:t>
      </w:r>
      <w:r>
        <w:rPr>
          <w:rFonts w:eastAsia="Times New Roman"/>
          <w:bCs/>
          <w:sz w:val="28"/>
          <w:szCs w:val="24"/>
        </w:rPr>
        <w:t xml:space="preserve"> заработную плату непосредственных исполнит</w:t>
      </w:r>
      <w:r>
        <w:rPr>
          <w:rFonts w:eastAsia="Times New Roman"/>
          <w:bCs/>
          <w:sz w:val="28"/>
          <w:szCs w:val="24"/>
        </w:rPr>
        <w:t xml:space="preserve">елей работ</w:t>
      </w:r>
      <w:r>
        <w:rPr>
          <w:rFonts w:eastAsia="Times New Roman"/>
          <w:bCs/>
          <w:sz w:val="28"/>
          <w:szCs w:val="24"/>
        </w:rPr>
        <w:t xml:space="preserve"> (</w:t>
      </w:r>
      <w:r>
        <w:rPr>
          <w:rFonts w:eastAsia="Times New Roman"/>
          <w:bCs/>
          <w:sz w:val="28"/>
          <w:szCs w:val="24"/>
        </w:rPr>
        <w:t xml:space="preserve">час или день в соответстви</w:t>
      </w:r>
      <w:r>
        <w:rPr>
          <w:rFonts w:eastAsia="Times New Roman"/>
          <w:bCs/>
          <w:sz w:val="28"/>
          <w:szCs w:val="24"/>
        </w:rPr>
        <w:t xml:space="preserve">и</w:t>
      </w:r>
      <w:r>
        <w:rPr>
          <w:rFonts w:eastAsia="Times New Roman"/>
          <w:bCs/>
          <w:sz w:val="28"/>
          <w:szCs w:val="24"/>
        </w:rPr>
        <w:t xml:space="preserve"> с единицей измерения учтенного в расчете)</w:t>
      </w:r>
      <w:r>
        <w:rPr>
          <w:rFonts w:eastAsia="Times New Roman"/>
          <w:bCs/>
          <w:sz w:val="28"/>
          <w:szCs w:val="24"/>
        </w:rPr>
        <w:t xml:space="preserve">, накладные расходы (</w:t>
      </w:r>
      <w:r>
        <w:rPr>
          <w:rFonts w:eastAsia="Times New Roman"/>
          <w:bCs/>
          <w:sz w:val="28"/>
          <w:szCs w:val="24"/>
        </w:rPr>
        <w:t xml:space="preserve">в проце</w:t>
      </w:r>
      <w:r>
        <w:rPr>
          <w:rFonts w:eastAsia="Times New Roman"/>
          <w:bCs/>
          <w:sz w:val="28"/>
          <w:szCs w:val="24"/>
        </w:rPr>
        <w:t xml:space="preserve">нтах) и размер рентабельности (в процентах</w:t>
      </w:r>
      <w:r>
        <w:rPr>
          <w:rFonts w:eastAsia="Times New Roman"/>
          <w:bCs/>
          <w:sz w:val="28"/>
          <w:szCs w:val="24"/>
        </w:rPr>
        <w:t xml:space="preserve">). Затрат</w:t>
      </w:r>
      <w:r>
        <w:rPr>
          <w:rFonts w:eastAsia="Times New Roman"/>
          <w:bCs/>
          <w:sz w:val="28"/>
          <w:szCs w:val="24"/>
        </w:rPr>
        <w:t xml:space="preserve">ы на строительно-монтажные работы, пусконаладочные работы, прочие затраты на стадии проведения конкурентной процедуры допустимо определять по объектам-аналогам с приложением документов, определяющих стоимость аналогов, или на основании предварительных смет</w:t>
      </w:r>
      <w:r>
        <w:rPr>
          <w:rFonts w:eastAsia="Times New Roman"/>
          <w:bCs/>
          <w:sz w:val="28"/>
          <w:szCs w:val="24"/>
        </w:rPr>
        <w:t xml:space="preserve">.</w:t>
      </w:r>
      <w:r>
        <w:rPr>
          <w:rFonts w:eastAsia="Times New Roman"/>
          <w:bCs/>
          <w:sz w:val="28"/>
          <w:szCs w:val="24"/>
        </w:rPr>
      </w:r>
      <w:r/>
    </w:p>
    <w:p>
      <w:pPr>
        <w:pStyle w:val="950"/>
        <w:numPr>
          <w:ilvl w:val="1"/>
          <w:numId w:val="33"/>
        </w:numPr>
        <w:ind w:left="0" w:firstLine="567"/>
        <w:spacing w:lineRule="auto" w:line="360"/>
        <w:rPr>
          <w:rFonts w:eastAsia="Times New Roman"/>
          <w:bCs/>
          <w:sz w:val="28"/>
          <w:szCs w:val="24"/>
        </w:rPr>
      </w:pPr>
      <w:r>
        <w:rPr>
          <w:rFonts w:eastAsia="Times New Roman"/>
          <w:bCs/>
          <w:sz w:val="28"/>
          <w:szCs w:val="24"/>
        </w:rPr>
        <w:t xml:space="preserve">В </w:t>
      </w:r>
      <w:r>
        <w:rPr>
          <w:rFonts w:eastAsia="Times New Roman"/>
          <w:bCs/>
          <w:sz w:val="28"/>
          <w:szCs w:val="24"/>
        </w:rPr>
        <w:t xml:space="preserve">договоре, оформ</w:t>
      </w:r>
      <w:r>
        <w:rPr>
          <w:rFonts w:eastAsia="Times New Roman"/>
          <w:bCs/>
          <w:sz w:val="28"/>
          <w:szCs w:val="24"/>
        </w:rPr>
        <w:t xml:space="preserve">ляемом по результатам проведенн</w:t>
      </w:r>
      <w:r>
        <w:rPr>
          <w:rFonts w:eastAsia="Times New Roman"/>
          <w:bCs/>
          <w:sz w:val="28"/>
          <w:szCs w:val="24"/>
        </w:rPr>
        <w:t xml:space="preserve">ых конкурентных процедур</w:t>
      </w:r>
      <w:r>
        <w:rPr>
          <w:rFonts w:eastAsia="Times New Roman"/>
          <w:bCs/>
          <w:sz w:val="28"/>
          <w:szCs w:val="24"/>
        </w:rPr>
        <w:t xml:space="preserve">, указывается стоимость работ</w:t>
      </w:r>
      <w:r>
        <w:rPr>
          <w:rFonts w:eastAsia="Times New Roman"/>
          <w:bCs/>
          <w:sz w:val="28"/>
          <w:szCs w:val="24"/>
        </w:rPr>
        <w:t xml:space="preserve">, определенная по результатам конкурентных процедур</w:t>
      </w:r>
      <w:r>
        <w:rPr>
          <w:rFonts w:eastAsia="Times New Roman"/>
          <w:bCs/>
          <w:sz w:val="28"/>
          <w:szCs w:val="24"/>
        </w:rPr>
        <w:t xml:space="preserve"> и прикладывается сводная таблица, в которую включается точная сумма на проектные работы и орие</w:t>
      </w:r>
      <w:r>
        <w:rPr>
          <w:rFonts w:eastAsia="Times New Roman"/>
          <w:bCs/>
          <w:sz w:val="28"/>
          <w:szCs w:val="24"/>
        </w:rPr>
        <w:t xml:space="preserve">нтировочная по статьям затрат (</w:t>
      </w:r>
      <w:r>
        <w:rPr>
          <w:rFonts w:eastAsia="Times New Roman"/>
          <w:bCs/>
          <w:sz w:val="28"/>
          <w:szCs w:val="24"/>
        </w:rPr>
        <w:t xml:space="preserve">стоимость</w:t>
      </w:r>
      <w:r>
        <w:rPr>
          <w:rFonts w:eastAsia="Times New Roman"/>
          <w:bCs/>
          <w:sz w:val="28"/>
          <w:szCs w:val="24"/>
        </w:rPr>
        <w:t xml:space="preserve"> строительно-монтажных </w:t>
      </w:r>
      <w:r>
        <w:rPr>
          <w:rFonts w:eastAsia="Times New Roman"/>
          <w:bCs/>
          <w:sz w:val="28"/>
          <w:szCs w:val="24"/>
        </w:rPr>
        <w:t xml:space="preserve">работ (</w:t>
      </w:r>
      <w:r>
        <w:rPr>
          <w:rFonts w:eastAsia="Times New Roman"/>
          <w:bCs/>
          <w:sz w:val="28"/>
          <w:szCs w:val="24"/>
        </w:rPr>
        <w:t xml:space="preserve">СМР</w:t>
      </w:r>
      <w:r>
        <w:rPr>
          <w:rFonts w:eastAsia="Times New Roman"/>
          <w:bCs/>
          <w:sz w:val="28"/>
          <w:szCs w:val="24"/>
        </w:rPr>
        <w:t xml:space="preserve">)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, </w:t>
      </w:r>
      <w:r>
        <w:rPr>
          <w:rFonts w:eastAsia="Times New Roman"/>
          <w:bCs/>
          <w:sz w:val="28"/>
          <w:szCs w:val="24"/>
        </w:rPr>
        <w:t xml:space="preserve">стоимость ПНР в случае их учета в составе заявки, </w:t>
      </w:r>
      <w:r>
        <w:rPr>
          <w:rFonts w:eastAsia="Times New Roman"/>
          <w:bCs/>
          <w:sz w:val="28"/>
          <w:szCs w:val="24"/>
        </w:rPr>
        <w:t xml:space="preserve">командировочные</w:t>
      </w:r>
      <w:r>
        <w:rPr>
          <w:rFonts w:eastAsia="Times New Roman"/>
          <w:bCs/>
          <w:sz w:val="28"/>
          <w:szCs w:val="24"/>
        </w:rPr>
        <w:t xml:space="preserve"> затраты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(если организация иногородняя) и т.д</w:t>
      </w:r>
      <w:r>
        <w:rPr>
          <w:rFonts w:eastAsia="Times New Roman"/>
          <w:bCs/>
          <w:sz w:val="28"/>
          <w:szCs w:val="24"/>
        </w:rPr>
        <w:t xml:space="preserve">. </w:t>
      </w:r>
      <w:r>
        <w:rPr>
          <w:rFonts w:eastAsia="Times New Roman"/>
          <w:bCs/>
          <w:sz w:val="28"/>
          <w:szCs w:val="24"/>
        </w:rPr>
        <w:t xml:space="preserve">При этом в Договор вносится условие</w:t>
      </w:r>
      <w:r>
        <w:rPr>
          <w:rFonts w:eastAsia="Times New Roman"/>
          <w:bCs/>
          <w:sz w:val="28"/>
          <w:szCs w:val="24"/>
        </w:rPr>
        <w:t xml:space="preserve">, что по результатам разработки проектно-сметной документации возможно изменение структуры затрат по </w:t>
      </w:r>
      <w:r>
        <w:rPr>
          <w:rFonts w:eastAsia="Times New Roman"/>
          <w:bCs/>
          <w:sz w:val="28"/>
          <w:szCs w:val="24"/>
        </w:rPr>
        <w:t xml:space="preserve">отдельным видам работ с сохранением общей цены заключенно</w:t>
      </w:r>
      <w:r>
        <w:rPr>
          <w:rFonts w:eastAsia="Times New Roman"/>
          <w:bCs/>
          <w:sz w:val="28"/>
          <w:szCs w:val="24"/>
        </w:rPr>
        <w:t xml:space="preserve">го Договора и</w:t>
      </w:r>
      <w:r>
        <w:rPr>
          <w:rFonts w:eastAsia="Times New Roman"/>
          <w:bCs/>
          <w:sz w:val="28"/>
          <w:szCs w:val="24"/>
        </w:rPr>
        <w:t xml:space="preserve"> стоимости проектных работ. В случае превышения суммы разработанных по результатам проектных работ смет над общей ценой Договора к итогам смет на СМР и ПНР подрядчик обязан применить поправочный коэффициент с целью не превышения цены заключенного Договора.</w:t>
      </w:r>
      <w:r>
        <w:rPr>
          <w:rFonts w:eastAsia="Times New Roman"/>
          <w:bCs/>
          <w:sz w:val="28"/>
          <w:szCs w:val="24"/>
        </w:rPr>
      </w:r>
      <w:r/>
    </w:p>
    <w:p>
      <w:pPr>
        <w:pStyle w:val="950"/>
        <w:numPr>
          <w:ilvl w:val="1"/>
          <w:numId w:val="33"/>
        </w:numPr>
        <w:ind w:left="0" w:firstLine="567"/>
        <w:spacing w:lineRule="auto" w:line="360"/>
        <w:rPr>
          <w:rFonts w:eastAsia="Times New Roman"/>
          <w:bCs/>
          <w:sz w:val="28"/>
          <w:szCs w:val="24"/>
        </w:rPr>
      </w:pPr>
      <w:r>
        <w:rPr>
          <w:rFonts w:eastAsia="Times New Roman"/>
          <w:bCs/>
          <w:sz w:val="28"/>
          <w:szCs w:val="24"/>
        </w:rPr>
        <w:t xml:space="preserve">При подготовке конкурентной процедуры инициатор закупки в</w:t>
      </w:r>
      <w:r>
        <w:rPr>
          <w:rFonts w:eastAsia="Times New Roman"/>
          <w:bCs/>
          <w:sz w:val="28"/>
          <w:szCs w:val="24"/>
        </w:rPr>
        <w:t xml:space="preserve"> техническом задании указыва</w:t>
      </w:r>
      <w:r>
        <w:rPr>
          <w:rFonts w:eastAsia="Times New Roman"/>
          <w:bCs/>
          <w:sz w:val="28"/>
          <w:szCs w:val="24"/>
        </w:rPr>
        <w:t xml:space="preserve">ет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основные ценообразующие факторы,</w:t>
      </w:r>
      <w:r>
        <w:rPr>
          <w:rFonts w:eastAsia="Times New Roman"/>
          <w:bCs/>
          <w:sz w:val="28"/>
          <w:szCs w:val="24"/>
        </w:rPr>
        <w:t xml:space="preserve"> включая </w:t>
      </w:r>
      <w:r>
        <w:rPr>
          <w:rFonts w:eastAsia="Times New Roman"/>
          <w:bCs/>
          <w:sz w:val="28"/>
          <w:szCs w:val="24"/>
        </w:rPr>
        <w:t xml:space="preserve">необходимые к применению</w:t>
      </w:r>
      <w:r>
        <w:rPr>
          <w:rFonts w:eastAsia="Times New Roman"/>
          <w:bCs/>
          <w:sz w:val="28"/>
          <w:szCs w:val="24"/>
        </w:rPr>
        <w:t xml:space="preserve"> индекс</w:t>
      </w:r>
      <w:r>
        <w:rPr>
          <w:rFonts w:eastAsia="Times New Roman"/>
          <w:bCs/>
          <w:sz w:val="28"/>
          <w:szCs w:val="24"/>
        </w:rPr>
        <w:t xml:space="preserve">ы</w:t>
      </w:r>
      <w:r>
        <w:rPr>
          <w:rFonts w:eastAsia="Times New Roman"/>
          <w:bCs/>
          <w:sz w:val="28"/>
          <w:szCs w:val="24"/>
        </w:rPr>
        <w:t xml:space="preserve"> перевода в текущие цены</w:t>
      </w:r>
      <w:r>
        <w:rPr>
          <w:rFonts w:eastAsia="Times New Roman"/>
          <w:bCs/>
          <w:sz w:val="28"/>
          <w:szCs w:val="24"/>
        </w:rPr>
        <w:t xml:space="preserve">, норматив сметной прибыли, размер суточных в случае учета командировочных затрат в составе цены Договора, прочие лимитированные затраты</w:t>
      </w:r>
      <w:r>
        <w:rPr>
          <w:rFonts w:eastAsia="Times New Roman"/>
          <w:bCs/>
          <w:sz w:val="28"/>
          <w:szCs w:val="24"/>
        </w:rPr>
        <w:t xml:space="preserve">. Данные для загрузки сметных цен на СМР и ПНР определяются на основании</w:t>
      </w:r>
      <w:r>
        <w:rPr>
          <w:rFonts w:eastAsia="Times New Roman"/>
          <w:bCs/>
          <w:sz w:val="28"/>
          <w:szCs w:val="24"/>
        </w:rPr>
        <w:t xml:space="preserve"> сплит-формы ФГИС ЦС, публикуемой </w:t>
      </w:r>
      <w:r>
        <w:rPr>
          <w:rFonts w:eastAsia="Times New Roman"/>
          <w:bCs/>
          <w:sz w:val="28"/>
          <w:szCs w:val="24"/>
        </w:rPr>
        <w:t xml:space="preserve">на момент заключения договора. В случае проведения строительно-монтажных работ на период более 1 года в сметы допустимо включать прогнозные индексы-дефляторы, принятые на основании данных </w:t>
      </w:r>
      <w:r>
        <w:rPr>
          <w:rFonts w:eastAsia="Times New Roman"/>
          <w:bCs/>
          <w:sz w:val="28"/>
          <w:szCs w:val="24"/>
        </w:rPr>
        <w:t xml:space="preserve">Минэкономразвития РФ </w:t>
      </w:r>
      <w:r>
        <w:rPr>
          <w:rFonts w:eastAsia="Times New Roman"/>
          <w:bCs/>
          <w:sz w:val="28"/>
          <w:szCs w:val="24"/>
        </w:rPr>
        <w:t xml:space="preserve">по строке индекс потребительских цен</w:t>
      </w:r>
      <w:r>
        <w:rPr>
          <w:rFonts w:eastAsia="Times New Roman"/>
          <w:bCs/>
          <w:sz w:val="28"/>
          <w:szCs w:val="24"/>
        </w:rPr>
        <w:t xml:space="preserve">. В техническом задании следует указать порядок оплаты дефляторов. Прогнозные индексы возможны к оплате как в процентах, так и в качестве аккумулирования средств, служащих лимитом для пересчета локальных смет в текущие цены по данным ФГИС ЦС</w:t>
      </w:r>
      <w:r>
        <w:rPr>
          <w:rFonts w:eastAsia="Times New Roman"/>
          <w:bCs/>
          <w:sz w:val="28"/>
          <w:szCs w:val="24"/>
        </w:rPr>
        <w:t xml:space="preserve"> на момент определения затрат планируемого года </w:t>
      </w:r>
      <w:r>
        <w:rPr>
          <w:rFonts w:eastAsia="Times New Roman"/>
          <w:bCs/>
          <w:sz w:val="28"/>
          <w:szCs w:val="24"/>
        </w:rPr>
        <w:t xml:space="preserve">, а в случае применения расценок по справочникам </w:t>
      </w:r>
      <w:r>
        <w:rPr>
          <w:rFonts w:eastAsia="Times New Roman"/>
          <w:bCs/>
          <w:sz w:val="28"/>
          <w:szCs w:val="24"/>
        </w:rPr>
        <w:t xml:space="preserve">БЦ-2003 – на основании приказов АО ДГК</w:t>
      </w:r>
      <w:r>
        <w:rPr>
          <w:rFonts w:eastAsia="Times New Roman"/>
          <w:bCs/>
          <w:sz w:val="28"/>
          <w:szCs w:val="24"/>
        </w:rPr>
        <w:t xml:space="preserve">.</w:t>
      </w:r>
      <w:r>
        <w:rPr>
          <w:rFonts w:eastAsia="Times New Roman"/>
          <w:bCs/>
          <w:sz w:val="28"/>
          <w:szCs w:val="24"/>
        </w:rPr>
        <w:t xml:space="preserve"> Ввод значений  прогнозных индексов-дефляторов в локальные сметы след</w:t>
      </w:r>
      <w:r>
        <w:rPr>
          <w:rFonts w:eastAsia="Times New Roman"/>
          <w:bCs/>
          <w:sz w:val="28"/>
          <w:szCs w:val="24"/>
        </w:rPr>
        <w:t xml:space="preserve">ует производить в коэффициентах к итогам смет, при этом уровень начисления к данным коэффициентом должен быть последним по порядку начисления – после всех ранее вводимых коэффициентов. </w:t>
      </w:r>
      <w:r>
        <w:rPr>
          <w:rFonts w:eastAsia="Times New Roman"/>
          <w:bCs/>
          <w:sz w:val="28"/>
          <w:szCs w:val="24"/>
        </w:rPr>
      </w:r>
      <w:r/>
    </w:p>
    <w:p>
      <w:pPr>
        <w:pStyle w:val="950"/>
        <w:numPr>
          <w:ilvl w:val="1"/>
          <w:numId w:val="33"/>
        </w:numPr>
        <w:ind w:left="0" w:firstLine="567"/>
        <w:spacing w:lineRule="auto" w:line="360"/>
        <w:rPr>
          <w:rFonts w:eastAsia="Times New Roman"/>
          <w:bCs/>
          <w:sz w:val="28"/>
          <w:szCs w:val="24"/>
        </w:rPr>
      </w:pPr>
      <w:r>
        <w:rPr>
          <w:rFonts w:eastAsia="Times New Roman"/>
          <w:bCs/>
          <w:sz w:val="28"/>
          <w:szCs w:val="24"/>
        </w:rPr>
        <w:t xml:space="preserve">В проекте Договора или задании на проектирование профильная служба должна указать, что в результате разработки ПСД и согласования её с Заказчиком, локальные сметные ра</w:t>
      </w:r>
      <w:r>
        <w:rPr>
          <w:rFonts w:eastAsia="Times New Roman"/>
          <w:bCs/>
          <w:sz w:val="28"/>
          <w:szCs w:val="24"/>
        </w:rPr>
        <w:t xml:space="preserve">счеты на выполнение работ напра</w:t>
      </w:r>
      <w:r>
        <w:rPr>
          <w:rFonts w:eastAsia="Times New Roman"/>
          <w:bCs/>
          <w:sz w:val="28"/>
          <w:szCs w:val="24"/>
        </w:rPr>
        <w:t xml:space="preserve">вляются на проверку заказчику (</w:t>
      </w:r>
      <w:r>
        <w:rPr>
          <w:rFonts w:eastAsia="Times New Roman"/>
          <w:bCs/>
          <w:sz w:val="28"/>
          <w:szCs w:val="24"/>
        </w:rPr>
        <w:t xml:space="preserve">структурному подразделению</w:t>
      </w:r>
      <w:r>
        <w:rPr>
          <w:rFonts w:eastAsia="Times New Roman"/>
          <w:bCs/>
          <w:sz w:val="28"/>
          <w:szCs w:val="24"/>
        </w:rPr>
        <w:t xml:space="preserve">,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на территории которого производятся работы</w:t>
      </w:r>
      <w:r>
        <w:rPr>
          <w:rFonts w:eastAsia="Times New Roman"/>
          <w:bCs/>
          <w:sz w:val="28"/>
          <w:szCs w:val="24"/>
        </w:rPr>
        <w:t xml:space="preserve"> . После его проверки при необходимости - в СДО АО «ДГК»)</w:t>
      </w:r>
      <w:r>
        <w:rPr>
          <w:rFonts w:eastAsia="Times New Roman"/>
          <w:bCs/>
          <w:sz w:val="28"/>
          <w:szCs w:val="24"/>
        </w:rPr>
        <w:t xml:space="preserve">.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После </w:t>
      </w:r>
      <w:r>
        <w:rPr>
          <w:rFonts w:eastAsia="Times New Roman"/>
          <w:bCs/>
          <w:sz w:val="28"/>
          <w:szCs w:val="24"/>
        </w:rPr>
        <w:t xml:space="preserve">проверки и согласования уточненных смет</w:t>
      </w:r>
      <w:r>
        <w:rPr>
          <w:rFonts w:eastAsia="Times New Roman"/>
          <w:bCs/>
          <w:sz w:val="28"/>
          <w:szCs w:val="24"/>
        </w:rPr>
        <w:t xml:space="preserve"> заключается дополнительные соглашения </w:t>
      </w:r>
      <w:r>
        <w:rPr>
          <w:rFonts w:eastAsia="Times New Roman"/>
          <w:bCs/>
          <w:sz w:val="28"/>
          <w:szCs w:val="24"/>
        </w:rPr>
        <w:t xml:space="preserve">в пределах цены утвержденного Договора</w:t>
      </w:r>
      <w:r>
        <w:rPr>
          <w:rFonts w:eastAsia="Times New Roman"/>
          <w:bCs/>
          <w:sz w:val="28"/>
          <w:szCs w:val="24"/>
        </w:rPr>
        <w:t xml:space="preserve"> </w:t>
      </w:r>
      <w:r>
        <w:rPr>
          <w:rFonts w:eastAsia="Times New Roman"/>
          <w:bCs/>
          <w:sz w:val="28"/>
          <w:szCs w:val="24"/>
        </w:rPr>
        <w:t xml:space="preserve">с включением в состав Договора уточненных </w:t>
      </w:r>
      <w:r>
        <w:rPr>
          <w:rFonts w:eastAsia="Times New Roman"/>
          <w:bCs/>
          <w:sz w:val="28"/>
          <w:szCs w:val="24"/>
        </w:rPr>
        <w:t xml:space="preserve">сметных расчетов</w:t>
      </w:r>
      <w:r>
        <w:rPr>
          <w:rFonts w:eastAsia="Times New Roman"/>
          <w:bCs/>
          <w:sz w:val="28"/>
          <w:szCs w:val="24"/>
        </w:rPr>
        <w:t xml:space="preserve">.</w:t>
      </w:r>
      <w:r>
        <w:rPr>
          <w:rFonts w:eastAsia="Times New Roman"/>
          <w:bCs/>
          <w:sz w:val="28"/>
          <w:szCs w:val="24"/>
        </w:rPr>
      </w:r>
      <w:r/>
    </w:p>
    <w:p>
      <w:pPr>
        <w:pStyle w:val="950"/>
        <w:ind w:left="0"/>
        <w:tabs>
          <w:tab w:val="left" w:pos="567" w:leader="none"/>
        </w:tabs>
      </w:pPr>
      <w:r/>
      <w:r/>
    </w:p>
    <w:p>
      <w:pPr>
        <w:pStyle w:val="940"/>
        <w:ind w:left="1134"/>
      </w:pPr>
      <w:r/>
      <w:r/>
    </w:p>
    <w:p>
      <w:pPr>
        <w:pStyle w:val="941"/>
        <w:ind w:left="0" w:firstLine="0"/>
        <w:jc w:val="center"/>
        <w:spacing w:before="200"/>
      </w:pPr>
      <w:r>
        <w:t xml:space="preserve">ХРАНЕНИЕ И АКТУАЛИЗАЦИЯ ДОКУМЕНТА</w:t>
      </w:r>
      <w:r/>
    </w:p>
    <w:p>
      <w:pPr>
        <w:pStyle w:val="940"/>
        <w:numPr>
          <w:ilvl w:val="1"/>
          <w:numId w:val="35"/>
        </w:numPr>
        <w:contextualSpacing w:val="true"/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Изменение в Стандарт вносятся по </w:t>
      </w:r>
      <w:r>
        <w:rPr>
          <w:sz w:val="28"/>
          <w:szCs w:val="28"/>
        </w:rPr>
        <w:t xml:space="preserve">мере необходимости Приказом по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«ДГК»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40"/>
        <w:numPr>
          <w:ilvl w:val="1"/>
          <w:numId w:val="35"/>
        </w:numPr>
        <w:contextualSpacing w:val="true"/>
        <w:ind w:left="0" w:firstLine="567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Хранение осуществляется </w:t>
      </w:r>
      <w:r>
        <w:rPr>
          <w:sz w:val="28"/>
          <w:szCs w:val="28"/>
        </w:rPr>
        <w:t xml:space="preserve">в соответствие с</w:t>
      </w:r>
      <w:r>
        <w:rPr>
          <w:sz w:val="28"/>
          <w:szCs w:val="28"/>
        </w:rPr>
        <w:t xml:space="preserve"> общепринятым в АО</w:t>
      </w:r>
      <w:r>
        <w:rPr>
          <w:sz w:val="28"/>
          <w:szCs w:val="28"/>
        </w:rPr>
        <w:t xml:space="preserve"> «ДГК» порядке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sectPr>
      <w:footerReference w:type="default" r:id="rId10"/>
      <w:footnotePr>
        <w:numRestart w:val="continuous"/>
      </w:footnotePr>
      <w:endnotePr/>
      <w:type w:val="nextPage"/>
      <w:pgSz w:w="11907" w:h="16839" w:orient="portrait"/>
      <w:pgMar w:top="1134" w:right="567" w:bottom="1134" w:left="1134" w:header="709" w:footer="41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Cambria Math">
    <w:panose1 w:val="02000603000000000000"/>
  </w:font>
  <w:font w:name="avenirnextcyr-bold">
    <w:panose1 w:val="020704090202050204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ahoma">
    <w:panose1 w:val="020B0506030602030204"/>
  </w:font>
  <w:font w:name="arial cyr">
    <w:panose1 w:val="02070409020205020404"/>
  </w:font>
  <w:font w:name="Cambria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  <w:r/>
  </w:p>
  <w:p>
    <w:pPr>
      <w:pStyle w:val="9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b/>
        <w:sz w:val="24"/>
        <w:szCs w:val="24"/>
      </w:rPr>
    </w:pP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PAGE   \* MERGEFORMAT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 xml:space="preserve">2</w:t>
    </w:r>
    <w:r>
      <w:rPr>
        <w:b/>
        <w:sz w:val="24"/>
        <w:szCs w:val="24"/>
      </w:rPr>
      <w:fldChar w:fldCharType="end"/>
    </w:r>
    <w:r>
      <w:rPr>
        <w:b/>
        <w:sz w:val="24"/>
        <w:szCs w:val="24"/>
      </w:rPr>
    </w:r>
    <w:r/>
  </w:p>
  <w:p>
    <w:pPr>
      <w:pStyle w:val="9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pStyle w:val="990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1">
    <w:multiLevelType w:val="hybridMultilevel"/>
    <w:lvl w:ilvl="0">
      <w:start w:val="1"/>
      <w:numFmt w:val="decimal"/>
      <w:pStyle w:val="941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928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1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8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011"/>
      <w:isLgl w:val="false"/>
      <w:suff w:val="tab"/>
      <w:lvlText w:val="%1.%2.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11"/>
      <w:isLgl w:val="false"/>
      <w:suff w:val="tab"/>
      <w:lvlText w:val="%1.%2.%3.%4."/>
      <w:lvlJc w:val="left"/>
      <w:pPr>
        <w:ind w:left="1134" w:firstLine="0"/>
        <w:tabs>
          <w:tab w:val="num" w:pos="2214" w:leader="none"/>
        </w:tabs>
      </w:pPr>
    </w:lvl>
    <w:lvl w:ilvl="4">
      <w:start w:val="1"/>
      <w:numFmt w:val="decimal"/>
      <w:isLgl w:val="false"/>
      <w:suff w:val="space"/>
      <w:lvlText w:val="%1.%2.%3.%4.%5."/>
      <w:lvlJc w:val="left"/>
      <w:pPr>
        <w:ind w:left="1134" w:firstLine="567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437" w:hanging="936"/>
        <w:tabs>
          <w:tab w:val="num" w:pos="4581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941" w:hanging="1080"/>
        <w:tabs>
          <w:tab w:val="num" w:pos="5301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5" w:hanging="1224"/>
        <w:tabs>
          <w:tab w:val="num" w:pos="566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1" w:hanging="1440"/>
        <w:tabs>
          <w:tab w:val="num" w:pos="6381" w:leader="none"/>
        </w:tabs>
      </w:pPr>
    </w:lvl>
  </w:abstractNum>
  <w:abstractNum w:abstractNumId="3">
    <w:multiLevelType w:val="hybridMultilevel"/>
    <w:lvl w:ilvl="0">
      <w:start w:val="5"/>
      <w:numFmt w:val="decimal"/>
      <w:pStyle w:val="1088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decimal"/>
      <w:pStyle w:val="983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6">
    <w:multiLevelType w:val="hybridMultilevel"/>
    <w:lvl w:ilvl="0">
      <w:start w:val="1"/>
      <w:numFmt w:val="decimal"/>
      <w:pStyle w:val="1089"/>
      <w:isLgl w:val="false"/>
      <w:suff w:val="tab"/>
      <w:lvlText w:val="6.3.%1."/>
      <w:lvlJc w:val="left"/>
      <w:pPr>
        <w:ind w:left="1287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>
      <w:start w:val="1"/>
      <w:numFmt w:val="decimal"/>
      <w:pStyle w:val="991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8">
    <w:multiLevelType w:val="hybridMultilevel"/>
    <w:lvl w:ilvl="0">
      <w:start w:val="4"/>
      <w:numFmt w:val="decimal"/>
      <w:pStyle w:val="984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nothing"/>
      <w:lvlText w:val="%1 "/>
      <w:lvlJc w:val="left"/>
      <w:pPr>
        <w:ind w:left="200" w:firstLine="509"/>
      </w:pPr>
      <w:rPr>
        <w:rFonts w:ascii="Times New Roman" w:hAnsi="Times New Roman"/>
        <w:b/>
        <w:i w:val="false"/>
        <w:sz w:val="26"/>
      </w:rPr>
    </w:lvl>
    <w:lvl w:ilvl="1">
      <w:start w:val="1"/>
      <w:numFmt w:val="decimal"/>
      <w:pStyle w:val="954"/>
      <w:isLgl w:val="false"/>
      <w:suff w:val="nothing"/>
      <w:lvlText w:val="%1.%2 "/>
      <w:lvlJc w:val="left"/>
      <w:pPr>
        <w:ind w:left="0" w:firstLine="709"/>
      </w:pPr>
    </w:lvl>
    <w:lvl w:ilvl="2">
      <w:start w:val="1"/>
      <w:numFmt w:val="decimal"/>
      <w:pStyle w:val="956"/>
      <w:isLgl w:val="false"/>
      <w:suff w:val="nothing"/>
      <w:lvlText w:val="%1.%2.%3 "/>
      <w:lvlJc w:val="left"/>
      <w:pPr>
        <w:ind w:left="0" w:firstLine="709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-9" w:firstLine="709"/>
        <w:tabs>
          <w:tab w:val="num" w:pos="842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-9" w:firstLine="709"/>
        <w:tabs>
          <w:tab w:val="num" w:pos="84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-9" w:firstLine="709"/>
        <w:tabs>
          <w:tab w:val="num" w:pos="84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-9" w:firstLine="709"/>
        <w:tabs>
          <w:tab w:val="num" w:pos="842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-9" w:firstLine="709"/>
        <w:tabs>
          <w:tab w:val="num" w:pos="842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9" w:firstLine="709"/>
        <w:tabs>
          <w:tab w:val="num" w:pos="842" w:leader="none"/>
        </w:tabs>
      </w:pPr>
    </w:lvl>
  </w:abstractNum>
  <w:abstractNum w:abstractNumId="10">
    <w:multiLevelType w:val="hybridMultilevel"/>
    <w:lvl w:ilvl="0">
      <w:start w:val="1"/>
      <w:numFmt w:val="decimal"/>
      <w:pStyle w:val="978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2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2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decimal"/>
      <w:isLgl w:val="false"/>
      <w:suff w:val="tab"/>
      <w:lvlText w:val="%1.%2."/>
      <w:lvlJc w:val="left"/>
      <w:pPr>
        <w:ind w:left="909" w:hanging="720"/>
      </w:pPr>
    </w:lvl>
    <w:lvl w:ilvl="2">
      <w:start w:val="7"/>
      <w:numFmt w:val="decimal"/>
      <w:isLgl w:val="false"/>
      <w:suff w:val="tab"/>
      <w:lvlText w:val="%1.%2.%3.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</w:lvl>
  </w:abstractNum>
  <w:abstractNum w:abstractNumId="14">
    <w:multiLevelType w:val="hybridMultilevel"/>
    <w:lvl w:ilvl="0">
      <w:start w:val="2"/>
      <w:numFmt w:val="decimal"/>
      <w:pStyle w:val="995"/>
      <w:isLgl w:val="false"/>
      <w:suff w:val="tab"/>
      <w:lvlText w:val="%1.1"/>
      <w:lvlJc w:val="left"/>
      <w:pPr>
        <w:ind w:left="927" w:hanging="360"/>
      </w:pPr>
      <w:rPr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6"/>
      <w:numFmt w:val="decimal"/>
      <w:pStyle w:val="1090"/>
      <w:isLgl w:val="false"/>
      <w:suff w:val="tab"/>
      <w:lvlText w:val="%1"/>
      <w:lvlJc w:val="left"/>
      <w:pPr>
        <w:ind w:left="480" w:hanging="480"/>
      </w:pPr>
    </w:lvl>
    <w:lvl w:ilvl="1">
      <w:start w:val="2"/>
      <w:numFmt w:val="decimal"/>
      <w:isLgl w:val="false"/>
      <w:suff w:val="tab"/>
      <w:lvlText w:val="%1.%2"/>
      <w:lvlJc w:val="left"/>
      <w:pPr>
        <w:ind w:left="660" w:hanging="480"/>
      </w:pPr>
    </w:lvl>
    <w:lvl w:ilvl="2">
      <w:start w:val="1"/>
      <w:numFmt w:val="decimal"/>
      <w:isLgl w:val="false"/>
      <w:suff w:val="tab"/>
      <w:lvlText w:val="6.%2.%3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6.%2.%3.%4"/>
      <w:lvlJc w:val="left"/>
      <w:pPr>
        <w:ind w:left="1260" w:hanging="720"/>
      </w:pPr>
      <w:rPr>
        <w:i w:val="fals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</w:pPr>
    </w:lvl>
  </w:abstractNum>
  <w:abstractNum w:abstractNumId="1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7">
    <w:multiLevelType w:val="hybridMultilevel"/>
    <w:lvl w:ilvl="0">
      <w:start w:val="1"/>
      <w:numFmt w:val="decimal"/>
      <w:pStyle w:val="1008"/>
      <w:isLgl w:val="false"/>
      <w:suff w:val="tab"/>
      <w:lvlText w:val="%1"/>
      <w:lvlJc w:val="left"/>
      <w:pPr>
        <w:ind w:left="1844" w:hanging="1134"/>
        <w:tabs>
          <w:tab w:val="num" w:pos="1844" w:leader="none"/>
        </w:tabs>
      </w:pPr>
    </w:lvl>
    <w:lvl w:ilvl="1">
      <w:start w:val="1"/>
      <w:numFmt w:val="decimal"/>
      <w:pStyle w:val="1006"/>
      <w:isLgl w:val="false"/>
      <w:suff w:val="tab"/>
      <w:lvlText w:val="%1.%2"/>
      <w:lvlJc w:val="left"/>
      <w:pPr>
        <w:ind w:left="2384" w:hanging="1134"/>
        <w:tabs>
          <w:tab w:val="num" w:pos="2384" w:leader="none"/>
        </w:tabs>
      </w:pPr>
    </w:lvl>
    <w:lvl w:ilvl="2">
      <w:start w:val="1"/>
      <w:numFmt w:val="decimal"/>
      <w:pStyle w:val="1007"/>
      <w:isLgl w:val="false"/>
      <w:suff w:val="tab"/>
      <w:lvlText w:val="%1.%2.%3"/>
      <w:lvlJc w:val="left"/>
      <w:pPr>
        <w:ind w:left="1250" w:firstLine="0"/>
        <w:tabs>
          <w:tab w:val="num" w:pos="2330" w:leader="none"/>
        </w:tabs>
      </w:pPr>
    </w:lvl>
    <w:lvl w:ilvl="3">
      <w:start w:val="1"/>
      <w:numFmt w:val="decimal"/>
      <w:pStyle w:val="1009"/>
      <w:isLgl w:val="false"/>
      <w:suff w:val="tab"/>
      <w:lvlText w:val="%1.%2.%3.%4."/>
      <w:lvlJc w:val="left"/>
      <w:pPr>
        <w:ind w:left="710" w:firstLine="0"/>
        <w:tabs>
          <w:tab w:val="num" w:pos="1790" w:leader="none"/>
        </w:tabs>
      </w:pPr>
    </w:lvl>
    <w:lvl w:ilvl="4">
      <w:start w:val="1"/>
      <w:numFmt w:val="decimal"/>
      <w:pStyle w:val="1010"/>
      <w:isLgl w:val="false"/>
      <w:suff w:val="tab"/>
      <w:lvlText w:val="%1.%2.%3.%4.%5."/>
      <w:lvlJc w:val="left"/>
      <w:pPr>
        <w:ind w:left="1844" w:hanging="1134"/>
        <w:tabs>
          <w:tab w:val="num" w:pos="215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013" w:hanging="936"/>
        <w:tabs>
          <w:tab w:val="num" w:pos="41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517" w:hanging="1080"/>
        <w:tabs>
          <w:tab w:val="num" w:pos="487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21" w:hanging="1224"/>
        <w:tabs>
          <w:tab w:val="num" w:pos="523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97" w:hanging="1440"/>
        <w:tabs>
          <w:tab w:val="num" w:pos="5957" w:leader="none"/>
        </w:tabs>
      </w:p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decimal"/>
      <w:isLgl w:val="false"/>
      <w:suff w:val="tab"/>
      <w:lvlText w:val="%1.%2."/>
      <w:lvlJc w:val="left"/>
      <w:pPr>
        <w:ind w:left="909" w:hanging="720"/>
      </w:pPr>
    </w:lvl>
    <w:lvl w:ilvl="2">
      <w:start w:val="3"/>
      <w:numFmt w:val="decimal"/>
      <w:isLgl w:val="false"/>
      <w:suff w:val="tab"/>
      <w:lvlText w:val="%1.%2.%3.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87" w:hanging="720"/>
      </w:pPr>
      <w:rPr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</w:lvl>
  </w:abstractNum>
  <w:abstractNum w:abstractNumId="19">
    <w:multiLevelType w:val="hybridMultilevel"/>
    <w:lvl w:ilvl="0">
      <w:start w:val="1"/>
      <w:numFmt w:val="decimal"/>
      <w:pStyle w:val="1070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0">
    <w:multiLevelType w:val="hybridMultilevel"/>
    <w:lvl w:ilvl="0">
      <w:start w:val="1"/>
      <w:numFmt w:val="decimal"/>
      <w:pStyle w:val="1087"/>
      <w:isLgl w:val="false"/>
      <w:suff w:val="tab"/>
      <w:lvlText w:val="%1."/>
      <w:lvlJc w:val="center"/>
      <w:pPr>
        <w:ind w:left="568" w:hanging="568"/>
        <w:tabs>
          <w:tab w:val="num" w:pos="568" w:leader="none"/>
        </w:tabs>
      </w:pPr>
    </w:lvl>
    <w:lvl w:ilvl="1">
      <w:start w:val="1"/>
      <w:numFmt w:val="decimal"/>
      <w:pStyle w:val="1083"/>
      <w:isLgl w:val="false"/>
      <w:suff w:val="tab"/>
      <w:lvlText w:val="%1.%2."/>
      <w:lvlJc w:val="left"/>
      <w:pPr>
        <w:ind w:left="1134" w:hanging="1133"/>
        <w:tabs>
          <w:tab w:val="num" w:pos="1134" w:leader="none"/>
        </w:tabs>
      </w:pPr>
    </w:lvl>
    <w:lvl w:ilvl="2">
      <w:start w:val="1"/>
      <w:numFmt w:val="decimal"/>
      <w:pStyle w:val="1084"/>
      <w:isLgl w:val="false"/>
      <w:suff w:val="tab"/>
      <w:lvlText w:val="%1.%2.%3."/>
      <w:lvlJc w:val="left"/>
      <w:pPr>
        <w:ind w:left="1134" w:hanging="1133"/>
        <w:tabs>
          <w:tab w:val="num" w:pos="1134" w:leader="none"/>
        </w:tabs>
      </w:pPr>
      <w:rPr>
        <w:rFonts w:ascii="Times New Roman" w:hAnsi="Times New Roman" w:cs="Times New Roman"/>
        <w:b w:val="false"/>
        <w:bCs w:val="false"/>
        <w:i w:val="false"/>
        <w:iCs w:val="false"/>
        <w:caps w:val="false"/>
        <w:smallCaps w:val="false"/>
        <w:strike w:val="false"/>
        <w:vanish w:val="false"/>
        <w:color w:val="000000"/>
        <w:spacing w:val="0"/>
        <w:position w:val="0"/>
        <w:sz w:val="0"/>
        <w:szCs w:val="0"/>
        <w:u w:val="none"/>
        <w:vertAlign w:val="baseline"/>
      </w:rPr>
    </w:lvl>
    <w:lvl w:ilvl="3">
      <w:start w:val="1"/>
      <w:numFmt w:val="decimal"/>
      <w:pStyle w:val="1085"/>
      <w:isLgl w:val="false"/>
      <w:suff w:val="tab"/>
      <w:lvlText w:val="%1.%2.%3.%4."/>
      <w:lvlJc w:val="left"/>
      <w:pPr>
        <w:ind w:left="1134" w:hanging="1134"/>
        <w:tabs>
          <w:tab w:val="num" w:pos="1134" w:leader="none"/>
        </w:tabs>
      </w:pPr>
    </w:lvl>
    <w:lvl w:ilvl="4">
      <w:start w:val="1"/>
      <w:numFmt w:val="lowerLetter"/>
      <w:pStyle w:val="1086"/>
      <w:isLgl w:val="false"/>
      <w:suff w:val="tab"/>
      <w:lvlText w:val="%5)"/>
      <w:lvlJc w:val="left"/>
      <w:pPr>
        <w:ind w:left="1418" w:hanging="567"/>
        <w:tabs>
          <w:tab w:val="num" w:pos="141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93" w:hanging="1152"/>
        <w:tabs>
          <w:tab w:val="num" w:pos="2593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37" w:hanging="1296"/>
        <w:tabs>
          <w:tab w:val="num" w:pos="2737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81" w:hanging="1440"/>
        <w:tabs>
          <w:tab w:val="num" w:pos="2881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25" w:hanging="1584"/>
        <w:tabs>
          <w:tab w:val="num" w:pos="3025" w:leader="none"/>
        </w:tabs>
      </w:pPr>
    </w:lvl>
  </w:abstractNum>
  <w:abstractNum w:abstractNumId="21">
    <w:multiLevelType w:val="hybridMultilevel"/>
    <w:lvl w:ilvl="0">
      <w:start w:val="6"/>
      <w:numFmt w:val="decimal"/>
      <w:pStyle w:val="1091"/>
      <w:isLgl w:val="false"/>
      <w:suff w:val="tab"/>
      <w:lvlText w:val="%1"/>
      <w:lvlJc w:val="left"/>
      <w:pPr>
        <w:ind w:left="480" w:hanging="480"/>
      </w:pPr>
    </w:lvl>
    <w:lvl w:ilvl="1">
      <w:start w:val="3"/>
      <w:numFmt w:val="decimal"/>
      <w:isLgl w:val="false"/>
      <w:suff w:val="tab"/>
      <w:lvlText w:val="%1.%2"/>
      <w:lvlJc w:val="left"/>
      <w:pPr>
        <w:ind w:left="763" w:hanging="48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286" w:hanging="720"/>
      </w:pPr>
    </w:lvl>
    <w:lvl w:ilvl="3">
      <w:start w:val="1"/>
      <w:numFmt w:val="bullet"/>
      <w:isLgl w:val="false"/>
      <w:suff w:val="tab"/>
      <w:lvlText w:val=""/>
      <w:lvlJc w:val="left"/>
      <w:pPr>
        <w:ind w:left="1569" w:hanging="720"/>
      </w:pPr>
      <w:rPr>
        <w:rFonts w:ascii="Symbol" w:hAnsi="Symbol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212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49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138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421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064" w:hanging="1800"/>
      </w:pPr>
    </w:lvl>
  </w:abstractNum>
  <w:abstractNum w:abstractNumId="22">
    <w:multiLevelType w:val="hybridMultilevel"/>
    <w:lvl w:ilvl="0">
      <w:start w:val="2"/>
      <w:numFmt w:val="decimal"/>
      <w:pStyle w:val="977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23">
    <w:multiLevelType w:val="hybridMultilevel"/>
    <w:lvl w:ilvl="0">
      <w:start w:val="3"/>
      <w:numFmt w:val="decimal"/>
      <w:pStyle w:val="99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3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2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eastAsia="Times New Roman"/>
      </w:rPr>
    </w:lvl>
    <w:lvl w:ilvl="1">
      <w:start w:val="3"/>
      <w:numFmt w:val="decimal"/>
      <w:isLgl w:val="false"/>
      <w:suff w:val="tab"/>
      <w:lvlText w:val="%1.%2."/>
      <w:lvlJc w:val="left"/>
      <w:pPr>
        <w:ind w:left="729" w:hanging="540"/>
      </w:pPr>
      <w:rPr>
        <w:rFonts w:eastAsia="Times New Roman"/>
      </w:rPr>
    </w:lvl>
    <w:lvl w:ilvl="2">
      <w:start w:val="9"/>
      <w:numFmt w:val="decimal"/>
      <w:isLgl w:val="false"/>
      <w:suff w:val="tab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7" w:hanging="720"/>
      </w:pPr>
      <w:rPr>
        <w:rFonts w:eastAsia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eastAsia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eastAsia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eastAsia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eastAsia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eastAsia="Times New Roman"/>
      </w:rPr>
    </w:lvl>
  </w:abstractNum>
  <w:abstractNum w:abstractNumId="2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</w:lvl>
  </w:abstractNum>
  <w:abstractNum w:abstractNumId="27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1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28">
    <w:multiLevelType w:val="hybridMultilevel"/>
    <w:lvl w:ilvl="0">
      <w:start w:val="2"/>
      <w:numFmt w:val="decimal"/>
      <w:pStyle w:val="994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5"/>
      <w:numFmt w:val="decimal"/>
      <w:pStyle w:val="958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32">
    <w:multiLevelType w:val="hybridMultilevel"/>
    <w:lvl w:ilvl="0">
      <w:start w:val="5"/>
      <w:numFmt w:val="decimal"/>
      <w:pStyle w:val="959"/>
      <w:isLgl w:val="false"/>
      <w:suff w:val="tab"/>
      <w:lvlText w:val="%1.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33">
    <w:multiLevelType w:val="hybridMultilevel"/>
    <w:lvl w:ilvl="0">
      <w:start w:val="3"/>
      <w:numFmt w:val="decimal"/>
      <w:pStyle w:val="982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34">
    <w:multiLevelType w:val="hybridMultilevel"/>
    <w:lvl w:ilvl="0">
      <w:start w:val="2"/>
      <w:numFmt w:val="decimal"/>
      <w:pStyle w:val="992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3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eastAsia="Times New Roman"/>
      </w:rPr>
    </w:lvl>
    <w:lvl w:ilvl="1">
      <w:start w:val="3"/>
      <w:numFmt w:val="decimal"/>
      <w:isLgl w:val="false"/>
      <w:suff w:val="tab"/>
      <w:lvlText w:val="%1.%2."/>
      <w:lvlJc w:val="left"/>
      <w:pPr>
        <w:ind w:left="729" w:hanging="540"/>
      </w:pPr>
      <w:rPr>
        <w:rFonts w:eastAsia="Times New Roman"/>
      </w:rPr>
    </w:lvl>
    <w:lvl w:ilvl="2">
      <w:start w:val="9"/>
      <w:numFmt w:val="decimal"/>
      <w:isLgl w:val="false"/>
      <w:suff w:val="tab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7" w:hanging="720"/>
      </w:pPr>
      <w:rPr>
        <w:rFonts w:eastAsia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eastAsia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eastAsia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eastAsia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eastAsia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eastAsia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928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1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8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37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1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38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1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1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928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1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8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4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</w:lvl>
    <w:lvl w:ilvl="1">
      <w:start w:val="3"/>
      <w:numFmt w:val="decimal"/>
      <w:isLgl w:val="false"/>
      <w:suff w:val="tab"/>
      <w:lvlText w:val="%1.%2"/>
      <w:lvlJc w:val="left"/>
      <w:pPr>
        <w:ind w:left="849" w:hanging="660"/>
      </w:pPr>
    </w:lvl>
    <w:lvl w:ilvl="2">
      <w:start w:val="1"/>
      <w:numFmt w:val="decimal"/>
      <w:isLgl w:val="false"/>
      <w:suff w:val="tab"/>
      <w:lvlText w:val="%1.1.%3"/>
      <w:lvlJc w:val="left"/>
      <w:pPr>
        <w:ind w:left="1098" w:hanging="720"/>
      </w:pPr>
    </w:lvl>
    <w:lvl w:ilvl="3">
      <w:start w:val="1"/>
      <w:numFmt w:val="decimal"/>
      <w:isLgl w:val="false"/>
      <w:suff w:val="tab"/>
      <w:lvlText w:val="%1.2.%3.%4"/>
      <w:lvlJc w:val="left"/>
      <w:pPr>
        <w:ind w:left="128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83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0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7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6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312" w:hanging="1800"/>
      </w:pPr>
    </w:lvl>
  </w:abstractNum>
  <w:num w:numId="1">
    <w:abstractNumId w:val="9"/>
  </w:num>
  <w:num w:numId="2">
    <w:abstractNumId w:val="31"/>
  </w:num>
  <w:num w:numId="3">
    <w:abstractNumId w:val="32"/>
  </w:num>
  <w:num w:numId="4">
    <w:abstractNumId w:val="22"/>
  </w:num>
  <w:num w:numId="5">
    <w:abstractNumId w:val="10"/>
  </w:num>
  <w:num w:numId="6">
    <w:abstractNumId w:val="33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34"/>
  </w:num>
  <w:num w:numId="12">
    <w:abstractNumId w:val="23"/>
  </w:num>
  <w:num w:numId="13">
    <w:abstractNumId w:val="28"/>
  </w:num>
  <w:num w:numId="14">
    <w:abstractNumId w:val="14"/>
  </w:num>
  <w:num w:numId="15">
    <w:abstractNumId w:val="2"/>
  </w:num>
  <w:num w:numId="16">
    <w:abstractNumId w:val="17"/>
  </w:num>
  <w:num w:numId="17">
    <w:abstractNumId w:val="19"/>
  </w:num>
  <w:num w:numId="18">
    <w:abstractNumId w:val="1"/>
  </w:num>
  <w:num w:numId="19">
    <w:abstractNumId w:val="30"/>
  </w:num>
  <w:num w:numId="20">
    <w:abstractNumId w:val="12"/>
  </w:num>
  <w:num w:numId="21">
    <w:abstractNumId w:val="29"/>
  </w:num>
  <w:num w:numId="22">
    <w:abstractNumId w:val="4"/>
  </w:num>
  <w:num w:numId="23">
    <w:abstractNumId w:val="27"/>
  </w:num>
  <w:num w:numId="24">
    <w:abstractNumId w:val="20"/>
  </w:num>
  <w:num w:numId="25">
    <w:abstractNumId w:val="3"/>
  </w:num>
  <w:num w:numId="26">
    <w:abstractNumId w:val="6"/>
  </w:num>
  <w:num w:numId="27">
    <w:abstractNumId w:val="15"/>
  </w:num>
  <w:num w:numId="28">
    <w:abstractNumId w:val="11"/>
  </w:num>
  <w:num w:numId="29">
    <w:abstractNumId w:val="21"/>
  </w:num>
  <w:num w:numId="30">
    <w:abstractNumId w:val="18"/>
  </w:num>
  <w:num w:numId="31">
    <w:abstractNumId w:val="25"/>
  </w:num>
  <w:num w:numId="32">
    <w:abstractNumId w:val="13"/>
  </w:num>
  <w:num w:numId="33">
    <w:abstractNumId w:val="24"/>
  </w:num>
  <w:num w:numId="34">
    <w:abstractNumId w:val="26"/>
  </w:num>
  <w:num w:numId="35">
    <w:abstractNumId w:val="16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2">
    <w:name w:val="Heading 1"/>
    <w:basedOn w:val="940"/>
    <w:next w:val="940"/>
    <w:link w:val="763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763">
    <w:name w:val="Heading 1 Char"/>
    <w:link w:val="762"/>
    <w:uiPriority w:val="9"/>
    <w:rPr>
      <w:rFonts w:ascii="Arial" w:hAnsi="Arial" w:cs="Arial" w:eastAsia="Arial"/>
      <w:sz w:val="40"/>
      <w:szCs w:val="40"/>
    </w:rPr>
  </w:style>
  <w:style w:type="paragraph" w:styleId="764">
    <w:name w:val="Heading 2"/>
    <w:basedOn w:val="940"/>
    <w:next w:val="940"/>
    <w:link w:val="76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765">
    <w:name w:val="Heading 2 Char"/>
    <w:link w:val="764"/>
    <w:uiPriority w:val="9"/>
    <w:rPr>
      <w:rFonts w:ascii="Arial" w:hAnsi="Arial" w:cs="Arial" w:eastAsia="Arial"/>
      <w:sz w:val="34"/>
    </w:rPr>
  </w:style>
  <w:style w:type="paragraph" w:styleId="766">
    <w:name w:val="Heading 3"/>
    <w:basedOn w:val="940"/>
    <w:next w:val="940"/>
    <w:link w:val="767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767">
    <w:name w:val="Heading 3 Char"/>
    <w:link w:val="766"/>
    <w:uiPriority w:val="9"/>
    <w:rPr>
      <w:rFonts w:ascii="Arial" w:hAnsi="Arial" w:cs="Arial" w:eastAsia="Arial"/>
      <w:sz w:val="30"/>
      <w:szCs w:val="30"/>
    </w:rPr>
  </w:style>
  <w:style w:type="paragraph" w:styleId="768">
    <w:name w:val="Heading 4"/>
    <w:basedOn w:val="940"/>
    <w:next w:val="940"/>
    <w:link w:val="76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9">
    <w:name w:val="Heading 4 Char"/>
    <w:link w:val="768"/>
    <w:uiPriority w:val="9"/>
    <w:rPr>
      <w:rFonts w:ascii="Arial" w:hAnsi="Arial" w:cs="Arial" w:eastAsia="Arial"/>
      <w:b/>
      <w:bCs/>
      <w:sz w:val="26"/>
      <w:szCs w:val="26"/>
    </w:rPr>
  </w:style>
  <w:style w:type="paragraph" w:styleId="770">
    <w:name w:val="Heading 5"/>
    <w:basedOn w:val="940"/>
    <w:next w:val="940"/>
    <w:link w:val="771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71">
    <w:name w:val="Heading 5 Char"/>
    <w:link w:val="770"/>
    <w:uiPriority w:val="9"/>
    <w:rPr>
      <w:rFonts w:ascii="Arial" w:hAnsi="Arial" w:cs="Arial" w:eastAsia="Arial"/>
      <w:b/>
      <w:bCs/>
      <w:sz w:val="24"/>
      <w:szCs w:val="24"/>
    </w:rPr>
  </w:style>
  <w:style w:type="paragraph" w:styleId="772">
    <w:name w:val="Heading 6"/>
    <w:basedOn w:val="940"/>
    <w:next w:val="940"/>
    <w:link w:val="773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3">
    <w:name w:val="Heading 6 Char"/>
    <w:link w:val="772"/>
    <w:uiPriority w:val="9"/>
    <w:rPr>
      <w:rFonts w:ascii="Arial" w:hAnsi="Arial" w:cs="Arial" w:eastAsia="Arial"/>
      <w:b/>
      <w:bCs/>
      <w:sz w:val="22"/>
      <w:szCs w:val="22"/>
    </w:rPr>
  </w:style>
  <w:style w:type="paragraph" w:styleId="774">
    <w:name w:val="Heading 7"/>
    <w:basedOn w:val="940"/>
    <w:next w:val="940"/>
    <w:link w:val="775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5">
    <w:name w:val="Heading 7 Char"/>
    <w:link w:val="77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6">
    <w:name w:val="Heading 8"/>
    <w:basedOn w:val="940"/>
    <w:next w:val="940"/>
    <w:link w:val="777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7">
    <w:name w:val="Heading 8 Char"/>
    <w:link w:val="776"/>
    <w:uiPriority w:val="9"/>
    <w:rPr>
      <w:rFonts w:ascii="Arial" w:hAnsi="Arial" w:cs="Arial" w:eastAsia="Arial"/>
      <w:i/>
      <w:iCs/>
      <w:sz w:val="22"/>
      <w:szCs w:val="22"/>
    </w:rPr>
  </w:style>
  <w:style w:type="paragraph" w:styleId="778">
    <w:name w:val="Heading 9"/>
    <w:basedOn w:val="940"/>
    <w:next w:val="940"/>
    <w:link w:val="77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9">
    <w:name w:val="Heading 9 Char"/>
    <w:link w:val="778"/>
    <w:uiPriority w:val="9"/>
    <w:rPr>
      <w:rFonts w:ascii="Arial" w:hAnsi="Arial" w:cs="Arial" w:eastAsia="Arial"/>
      <w:i/>
      <w:iCs/>
      <w:sz w:val="21"/>
      <w:szCs w:val="21"/>
    </w:rPr>
  </w:style>
  <w:style w:type="paragraph" w:styleId="780">
    <w:name w:val="List Paragraph"/>
    <w:basedOn w:val="940"/>
    <w:qFormat/>
    <w:uiPriority w:val="34"/>
    <w:pPr>
      <w:contextualSpacing w:val="true"/>
      <w:ind w:left="720"/>
    </w:pPr>
  </w:style>
  <w:style w:type="paragraph" w:styleId="781">
    <w:name w:val="No Spacing"/>
    <w:qFormat/>
    <w:uiPriority w:val="1"/>
    <w:pPr>
      <w:spacing w:lineRule="auto" w:line="240" w:after="0" w:before="0"/>
    </w:pPr>
  </w:style>
  <w:style w:type="paragraph" w:styleId="782">
    <w:name w:val="Title"/>
    <w:basedOn w:val="940"/>
    <w:next w:val="940"/>
    <w:link w:val="78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3">
    <w:name w:val="Title Char"/>
    <w:link w:val="782"/>
    <w:uiPriority w:val="10"/>
    <w:rPr>
      <w:sz w:val="48"/>
      <w:szCs w:val="48"/>
    </w:rPr>
  </w:style>
  <w:style w:type="paragraph" w:styleId="784">
    <w:name w:val="Subtitle"/>
    <w:basedOn w:val="940"/>
    <w:next w:val="940"/>
    <w:link w:val="785"/>
    <w:qFormat/>
    <w:uiPriority w:val="11"/>
    <w:rPr>
      <w:sz w:val="24"/>
      <w:szCs w:val="24"/>
    </w:rPr>
    <w:pPr>
      <w:spacing w:after="200" w:before="200"/>
    </w:pPr>
  </w:style>
  <w:style w:type="character" w:styleId="785">
    <w:name w:val="Subtitle Char"/>
    <w:link w:val="784"/>
    <w:uiPriority w:val="11"/>
    <w:rPr>
      <w:sz w:val="24"/>
      <w:szCs w:val="24"/>
    </w:rPr>
  </w:style>
  <w:style w:type="paragraph" w:styleId="786">
    <w:name w:val="Quote"/>
    <w:basedOn w:val="940"/>
    <w:next w:val="940"/>
    <w:link w:val="787"/>
    <w:qFormat/>
    <w:uiPriority w:val="29"/>
    <w:rPr>
      <w:i/>
    </w:rPr>
    <w:pPr>
      <w:ind w:left="720" w:right="720"/>
    </w:pPr>
  </w:style>
  <w:style w:type="character" w:styleId="787">
    <w:name w:val="Quote Char"/>
    <w:link w:val="786"/>
    <w:uiPriority w:val="29"/>
    <w:rPr>
      <w:i/>
    </w:rPr>
  </w:style>
  <w:style w:type="paragraph" w:styleId="788">
    <w:name w:val="Intense Quote"/>
    <w:basedOn w:val="940"/>
    <w:next w:val="940"/>
    <w:link w:val="78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9">
    <w:name w:val="Intense Quote Char"/>
    <w:link w:val="788"/>
    <w:uiPriority w:val="30"/>
    <w:rPr>
      <w:i/>
    </w:rPr>
  </w:style>
  <w:style w:type="paragraph" w:styleId="790">
    <w:name w:val="Header"/>
    <w:basedOn w:val="940"/>
    <w:link w:val="79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91">
    <w:name w:val="Header Char"/>
    <w:link w:val="790"/>
    <w:uiPriority w:val="99"/>
  </w:style>
  <w:style w:type="paragraph" w:styleId="792">
    <w:name w:val="Footer"/>
    <w:basedOn w:val="940"/>
    <w:link w:val="79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93">
    <w:name w:val="Footer Char"/>
    <w:link w:val="792"/>
    <w:uiPriority w:val="99"/>
  </w:style>
  <w:style w:type="paragraph" w:styleId="794">
    <w:name w:val="Caption"/>
    <w:basedOn w:val="940"/>
    <w:next w:val="94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5">
    <w:name w:val="Caption Char"/>
    <w:basedOn w:val="794"/>
    <w:link w:val="792"/>
    <w:uiPriority w:val="99"/>
  </w:style>
  <w:style w:type="table" w:styleId="796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Color="text1" w:themeTint="0D"/>
      </w:tcPr>
    </w:tblStylePr>
    <w:tblStylePr w:type="band1Vert">
      <w:tcPr>
        <w:shd w:val="clear" w:color="FFFFFF" w:fill="F2F2F2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03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0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1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2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3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4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5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CE6F1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CE6F1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5D8DC2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6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4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7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A59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8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9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30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31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BFBFBF" w:themeColor="text1" w:themeTint="40"/>
    </w:tblPr>
    <w:tblStylePr w:type="band1Horz">
      <w:tcPr>
        <w:shd w:val="clear" w:color="FFFFFF" w:fill="8A8A8A" w:themeColor="text1" w:themeTint="75"/>
      </w:tcPr>
    </w:tblStylePr>
    <w:tblStylePr w:type="band1Vert">
      <w:tcPr>
        <w:shd w:val="clear" w:color="FFFFFF" w:fill="8A8A8A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000000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000000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000000" w:themeColor="text1"/>
        <w:tcBorders>
          <w:top w:val="single" w:color="000000" w:sz="4" w:space="0" w:themeColor="light1"/>
        </w:tcBorders>
      </w:tcPr>
    </w:tblStylePr>
  </w:style>
  <w:style w:type="table" w:styleId="832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DAE5F1" w:themeColor="accent1" w:themeTint="34"/>
    </w:tblPr>
    <w:tblStylePr w:type="band1Horz">
      <w:tcPr>
        <w:shd w:val="clear" w:color="FFFFFF" w:fill="ADC5E0" w:themeColor="accent1" w:themeTint="75"/>
      </w:tcPr>
    </w:tblStylePr>
    <w:tblStylePr w:type="band1Vert">
      <w:tcPr>
        <w:shd w:val="clear" w:color="FFFFFF" w:fill="ADC5E0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F81BD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F81BD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F81BD" w:themeColor="accent1"/>
        <w:tcBorders>
          <w:top w:val="single" w:color="000000" w:sz="4" w:space="0" w:themeColor="light1"/>
        </w:tcBorders>
      </w:tcPr>
    </w:tblStylePr>
  </w:style>
  <w:style w:type="table" w:styleId="833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F2DCDB" w:themeColor="accent2" w:themeTint="32"/>
    </w:tblPr>
    <w:tblStylePr w:type="band1Horz">
      <w:tcPr>
        <w:shd w:val="clear" w:color="FFFFFF" w:fill="E1ADAC" w:themeColor="accent2" w:themeTint="75"/>
      </w:tcPr>
    </w:tblStylePr>
    <w:tblStylePr w:type="band1Vert">
      <w:tcPr>
        <w:shd w:val="clear" w:color="FFFFFF" w:fill="E1ADAC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C0504D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C0504D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C0504D" w:themeColor="accent2"/>
        <w:tcBorders>
          <w:top w:val="single" w:color="000000" w:sz="4" w:space="0" w:themeColor="light1"/>
        </w:tcBorders>
      </w:tcPr>
    </w:tblStylePr>
  </w:style>
  <w:style w:type="table" w:styleId="834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EAF0DD" w:themeColor="accent3" w:themeTint="34"/>
    </w:tblPr>
    <w:tblStylePr w:type="band1Horz">
      <w:tcPr>
        <w:shd w:val="clear" w:color="FFFFFF" w:fill="D1DFB2" w:themeColor="accent3" w:themeTint="75"/>
      </w:tcPr>
    </w:tblStylePr>
    <w:tblStylePr w:type="band1Vert">
      <w:tcPr>
        <w:shd w:val="clear" w:color="FFFFFF" w:fill="D1DFB2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9BBB59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9BBB59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9BBB59" w:themeColor="accent3"/>
        <w:tcBorders>
          <w:top w:val="single" w:color="000000" w:sz="4" w:space="0" w:themeColor="light1"/>
        </w:tcBorders>
      </w:tcPr>
    </w:tblStylePr>
  </w:style>
  <w:style w:type="table" w:styleId="835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E5DFEC" w:themeColor="accent4" w:themeTint="34"/>
    </w:tblPr>
    <w:tblStylePr w:type="band1Horz">
      <w:tcPr>
        <w:shd w:val="clear" w:color="FFFFFF" w:fill="C4B7D4" w:themeColor="accent4" w:themeTint="75"/>
      </w:tcPr>
    </w:tblStylePr>
    <w:tblStylePr w:type="band1Vert">
      <w:tcPr>
        <w:shd w:val="clear" w:color="FFFFFF" w:fill="C4B7D4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8064A2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8064A2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8064A2" w:themeColor="accent4"/>
        <w:tcBorders>
          <w:top w:val="single" w:color="000000" w:sz="4" w:space="0" w:themeColor="light1"/>
        </w:tcBorders>
      </w:tcPr>
    </w:tblStylePr>
  </w:style>
  <w:style w:type="table" w:styleId="836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DAEEF3" w:themeColor="accent5" w:themeTint="34"/>
    </w:tblPr>
    <w:tblStylePr w:type="band1Horz">
      <w:tcPr>
        <w:shd w:val="clear" w:color="FFFFFF" w:fill="ABD9E4" w:themeColor="accent5" w:themeTint="75"/>
      </w:tcPr>
    </w:tblStylePr>
    <w:tblStylePr w:type="band1Vert">
      <w:tcPr>
        <w:shd w:val="clear" w:color="FFFFFF" w:fill="ABD9E4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BACC6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BACC6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BACC6" w:themeColor="accent5"/>
        <w:tcBorders>
          <w:top w:val="single" w:color="000000" w:sz="4" w:space="0" w:themeColor="light1"/>
        </w:tcBorders>
      </w:tcPr>
    </w:tblStylePr>
  </w:style>
  <w:style w:type="table" w:styleId="837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fill="FDE9D8" w:themeColor="accent6" w:themeTint="34"/>
    </w:tblPr>
    <w:tblStylePr w:type="band1Horz">
      <w:tcPr>
        <w:shd w:val="clear" w:color="FFFFFF" w:fill="FBCDA8" w:themeColor="accent6" w:themeTint="75"/>
      </w:tcPr>
    </w:tblStylePr>
    <w:tblStylePr w:type="band1Vert">
      <w:tcPr>
        <w:shd w:val="clear" w:color="FFFFFF" w:fill="FBCDA8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7964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7964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79646" w:themeColor="accent6"/>
        <w:tcBorders>
          <w:top w:val="single" w:color="000000" w:sz="4" w:space="0" w:themeColor="light1"/>
        </w:tcBorders>
      </w:tcPr>
    </w:tblStylePr>
  </w:style>
  <w:style w:type="table" w:styleId="838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CBCBCB" w:themeColor="text1" w:themeTint="34"/>
      </w:tcPr>
    </w:tblStylePr>
    <w:tblStylePr w:type="band1Vert">
      <w:tcPr>
        <w:shd w:val="clear" w:color="FFFFFF" w:fill="CBCBCB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9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DAE5F1" w:themeColor="accent1" w:themeTint="34"/>
      </w:tcPr>
    </w:tblStylePr>
    <w:tblStylePr w:type="band1Vert">
      <w:tcPr>
        <w:shd w:val="clear" w:color="FFFFFF" w:fill="DAE5F1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0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2DCDB" w:themeColor="accent2" w:themeTint="32"/>
      </w:tcPr>
    </w:tblStylePr>
    <w:tblStylePr w:type="band1Vert">
      <w:tcPr>
        <w:shd w:val="clear" w:color="FFFFFF" w:fill="F2DCDB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1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EAF0DD" w:themeColor="accent3" w:themeTint="34"/>
      </w:tcPr>
    </w:tblStylePr>
    <w:tblStylePr w:type="band1Vert">
      <w:tcPr>
        <w:shd w:val="clear" w:color="FFFFFF" w:fill="EAF0DD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2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E5DFEC" w:themeColor="accent4" w:themeTint="34"/>
      </w:tcPr>
    </w:tblStylePr>
    <w:tblStylePr w:type="band1Vert">
      <w:tcPr>
        <w:shd w:val="clear" w:color="FFFFFF" w:fill="E5DFEC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3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DAEEF3" w:themeColor="accent5" w:themeTint="34"/>
      </w:tcPr>
    </w:tblStylePr>
    <w:tblStylePr w:type="band1Vert">
      <w:tcPr>
        <w:shd w:val="clear" w:color="FFFFFF" w:fill="DAEEF3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4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DE9D8" w:themeColor="accent6" w:themeTint="34"/>
      </w:tcPr>
    </w:tblStylePr>
    <w:tblStylePr w:type="band1Vert">
      <w:tcPr>
        <w:shd w:val="clear" w:color="FFFFFF" w:fill="FDE9D8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2F2F2" w:themeColor="text1" w:themeTint="0D"/>
      </w:tcPr>
    </w:tblStylePr>
    <w:tblStylePr w:type="band1Vert">
      <w:tcPr>
        <w:shd w:val="clear" w:color="FFFFFF" w:fill="F2F2F2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DAE5F1" w:themeColor="accent1" w:themeTint="34"/>
      </w:tcPr>
    </w:tblStylePr>
    <w:tblStylePr w:type="band1Vert">
      <w:tcPr>
        <w:shd w:val="clear" w:color="FFFFFF" w:fill="DAE5F1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2DCDB" w:themeColor="accent2" w:themeTint="32"/>
      </w:tcPr>
    </w:tblStylePr>
    <w:tblStylePr w:type="band1Vert">
      <w:tcPr>
        <w:shd w:val="clear" w:color="FFFFFF" w:fill="F2DCDB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EAF0DD" w:themeColor="accent3" w:themeTint="34"/>
      </w:tcPr>
    </w:tblStylePr>
    <w:tblStylePr w:type="band1Vert">
      <w:tcPr>
        <w:shd w:val="clear" w:color="FFFFFF" w:fill="EAF0DD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E5DFEC" w:themeColor="accent4" w:themeTint="34"/>
      </w:tcPr>
    </w:tblStylePr>
    <w:tblStylePr w:type="band1Vert">
      <w:tcPr>
        <w:shd w:val="clear" w:color="FFFFFF" w:fill="E5DFEC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DAEEF3" w:themeColor="accent5" w:themeTint="34"/>
      </w:tcPr>
    </w:tblStylePr>
    <w:tblStylePr w:type="band1Vert">
      <w:tcPr>
        <w:shd w:val="clear" w:color="FFFFFF" w:fill="DAEEF3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DE9D8" w:themeColor="accent6" w:themeTint="34"/>
      </w:tcPr>
    </w:tblStylePr>
    <w:tblStylePr w:type="band1Vert">
      <w:tcPr>
        <w:shd w:val="clear" w:color="FFFFFF" w:fill="FDE9D8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BFBFBF" w:themeColor="text1" w:themeTint="40"/>
      </w:tcPr>
    </w:tblStylePr>
    <w:tblStylePr w:type="band1Vert">
      <w:tcPr>
        <w:shd w:val="clear" w:color="FFFFFF" w:fill="BFBFB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D3E0EE" w:themeColor="accent1" w:themeTint="40"/>
      </w:tcPr>
    </w:tblStylePr>
    <w:tblStylePr w:type="band1Vert">
      <w:tcPr>
        <w:shd w:val="clear" w:color="FFFFFF" w:fill="D3E0EE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EFD3D2" w:themeColor="accent2" w:themeTint="40"/>
      </w:tcPr>
    </w:tblStylePr>
    <w:tblStylePr w:type="band1Vert">
      <w:tcPr>
        <w:shd w:val="clear" w:color="FFFFFF" w:fill="EFD3D2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5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E6EED5" w:themeColor="accent3" w:themeTint="40"/>
      </w:tcPr>
    </w:tblStylePr>
    <w:tblStylePr w:type="band1Vert">
      <w:tcPr>
        <w:shd w:val="clear" w:color="FFFFFF" w:fill="E6EED5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6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DFD8E7" w:themeColor="accent4" w:themeTint="40"/>
      </w:tcPr>
    </w:tblStylePr>
    <w:tblStylePr w:type="band1Vert">
      <w:tcPr>
        <w:shd w:val="clear" w:color="FFFFFF" w:fill="DFD8E7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7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D1EAF0" w:themeColor="accent5" w:themeTint="40"/>
      </w:tcPr>
    </w:tblStylePr>
    <w:tblStylePr w:type="band1Vert">
      <w:tcPr>
        <w:shd w:val="clear" w:color="FFFFFF" w:fill="D1EAF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8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fill="FCE4D1" w:themeColor="accent6" w:themeTint="40"/>
      </w:tcPr>
    </w:tblStylePr>
    <w:tblStylePr w:type="band1Vert">
      <w:tcPr>
        <w:shd w:val="clear" w:color="FFFFFF" w:fill="FCE4D1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9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60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3E0EE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3E0EE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61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3D2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3D2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62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6EED5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6EED5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63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64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5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CE4D1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CE4D1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6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4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3D69B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1CDDC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9BF90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3E0EE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3E0EE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3D2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3D2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6EED5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6EED5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CE4D1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CE4D1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fill="7F7F7F" w:themeColor="text1" w:themeTint="80"/>
    </w:tblPr>
    <w:tblStylePr w:type="band1Horz">
      <w:tcPr>
        <w:shd w:val="clear" w:color="FFFFFF" w:fill="7F7F7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7F7F7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7F7F7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7F7F7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fill="4F81BD" w:themeColor="accent1"/>
    </w:tblPr>
    <w:tblStylePr w:type="band1Horz">
      <w:tcPr>
        <w:shd w:val="clear" w:color="FFFFFF" w:fill="4F81BD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4F81BD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4F81BD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4F81BD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fill="D99694" w:themeColor="accent2" w:themeTint="97"/>
    </w:tblPr>
    <w:tblStylePr w:type="band1Horz">
      <w:tcPr>
        <w:shd w:val="clear" w:color="FFFFFF" w:fill="D99694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D99694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D99694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D99694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fill="C3D69B" w:themeColor="accent3" w:themeTint="98"/>
    </w:tblPr>
    <w:tblStylePr w:type="band1Horz">
      <w:tcPr>
        <w:shd w:val="clear" w:color="FFFFFF" w:fill="C3D69B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C3D69B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C3D69B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C3D69B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fill="B2A1C6" w:themeColor="accent4" w:themeTint="9A"/>
    </w:tblPr>
    <w:tblStylePr w:type="band1Horz">
      <w:tcPr>
        <w:shd w:val="clear" w:color="FFFFFF" w:fill="B2A1C6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B2A1C6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B2A1C6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B2A1C6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fill="91CDDC" w:themeColor="accent5" w:themeTint="9A"/>
    </w:tblPr>
    <w:tblStylePr w:type="band1Horz">
      <w:tcPr>
        <w:shd w:val="clear" w:color="FFFFFF" w:fill="91CDDC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91CDDC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91CDDC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91CDDC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fill="F9BF90" w:themeColor="accent6" w:themeTint="98"/>
    </w:tblPr>
    <w:tblStylePr w:type="band1Horz">
      <w:tcPr>
        <w:shd w:val="clear" w:color="FFFFFF" w:fill="F9BF90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fill="F9BF90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fill="F9BF90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9BF90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BFBFBF" w:themeColor="text1" w:themeTint="40"/>
      </w:tcPr>
    </w:tblStylePr>
    <w:tblStylePr w:type="band1Vert">
      <w:tcPr>
        <w:shd w:val="clear" w:color="FFFFFF" w:fill="BFBFB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8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D3E0EE" w:themeColor="accent1" w:themeTint="40"/>
      </w:tcPr>
    </w:tblStylePr>
    <w:tblStylePr w:type="band1Vert">
      <w:tcPr>
        <w:shd w:val="clear" w:color="FFFFFF" w:fill="D3E0EE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9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EFD3D2" w:themeColor="accent2" w:themeTint="40"/>
      </w:tcPr>
    </w:tblStylePr>
    <w:tblStylePr w:type="band1Vert">
      <w:tcPr>
        <w:shd w:val="clear" w:color="FFFFFF" w:fill="EFD3D2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90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E6EED5" w:themeColor="accent3" w:themeTint="40"/>
      </w:tcPr>
    </w:tblStylePr>
    <w:tblStylePr w:type="band1Vert">
      <w:tcPr>
        <w:shd w:val="clear" w:color="FFFFFF" w:fill="E6EED5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91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DFD8E7" w:themeColor="accent4" w:themeTint="40"/>
      </w:tcPr>
    </w:tblStylePr>
    <w:tblStylePr w:type="band1Vert">
      <w:tcPr>
        <w:shd w:val="clear" w:color="FFFFFF" w:fill="DFD8E7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92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D1EAF0" w:themeColor="accent5" w:themeTint="40"/>
      </w:tcPr>
    </w:tblStylePr>
    <w:tblStylePr w:type="band1Vert">
      <w:tcPr>
        <w:shd w:val="clear" w:color="FFFFFF" w:fill="D1EAF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93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CE4D1" w:themeColor="accent6" w:themeTint="40"/>
      </w:tcPr>
    </w:tblStylePr>
    <w:tblStylePr w:type="band1Vert">
      <w:tcPr>
        <w:shd w:val="clear" w:color="FFFFFF" w:fill="FCE4D1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94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BFBFBF" w:themeColor="text1" w:themeTint="40"/>
      </w:tcPr>
    </w:tblStylePr>
    <w:tblStylePr w:type="band1Vert">
      <w:tcPr>
        <w:shd w:val="clear" w:color="FFFFFF" w:fill="BFBFB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5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D3E0EE" w:themeColor="accent1" w:themeTint="40"/>
      </w:tcPr>
    </w:tblStylePr>
    <w:tblStylePr w:type="band1Vert">
      <w:tcPr>
        <w:shd w:val="clear" w:color="FFFFFF" w:fill="D3E0EE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6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EFD3D2" w:themeColor="accent2" w:themeTint="40"/>
      </w:tcPr>
    </w:tblStylePr>
    <w:tblStylePr w:type="band1Vert">
      <w:tcPr>
        <w:shd w:val="clear" w:color="FFFFFF" w:fill="EFD3D2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7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E6EED5" w:themeColor="accent3" w:themeTint="40"/>
      </w:tcPr>
    </w:tblStylePr>
    <w:tblStylePr w:type="band1Vert">
      <w:tcPr>
        <w:shd w:val="clear" w:color="FFFFFF" w:fill="E6EED5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8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DFD8E7" w:themeColor="accent4" w:themeTint="40"/>
      </w:tcPr>
    </w:tblStylePr>
    <w:tblStylePr w:type="band1Vert">
      <w:tcPr>
        <w:shd w:val="clear" w:color="FFFFFF" w:fill="DFD8E7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9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D1EAF0" w:themeColor="accent5" w:themeTint="40"/>
      </w:tcPr>
    </w:tblStylePr>
    <w:tblStylePr w:type="band1Vert">
      <w:tcPr>
        <w:shd w:val="clear" w:color="FFFFFF" w:fill="D1EAF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0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CE4D1" w:themeColor="accent6" w:themeTint="40"/>
      </w:tcPr>
    </w:tblStylePr>
    <w:tblStylePr w:type="band1Vert">
      <w:tcPr>
        <w:shd w:val="clear" w:color="FFFFFF" w:fill="FCE4D1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1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</w:style>
  <w:style w:type="table" w:styleId="902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</w:style>
  <w:style w:type="table" w:styleId="903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</w:style>
  <w:style w:type="table" w:styleId="904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</w:style>
  <w:style w:type="table" w:styleId="905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</w:style>
  <w:style w:type="table" w:styleId="906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</w:style>
  <w:style w:type="table" w:styleId="907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</w:style>
  <w:style w:type="table" w:styleId="908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Color="text1" w:themeTint="80"/>
      </w:tcPr>
    </w:tblStylePr>
  </w:style>
  <w:style w:type="table" w:styleId="909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DC2" w:themeColor="accent1" w:themeTint="EA"/>
      </w:tcPr>
    </w:tblStylePr>
  </w:style>
  <w:style w:type="table" w:styleId="910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B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4" w:themeColor="accent2" w:themeTint="97"/>
      </w:tcPr>
    </w:tblStylePr>
  </w:style>
  <w:style w:type="table" w:styleId="911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0DD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BBA59" w:themeColor="accent3" w:themeTint="FE"/>
      </w:tcPr>
    </w:tblStylePr>
  </w:style>
  <w:style w:type="table" w:styleId="912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Color="accent4" w:themeTint="9A"/>
      </w:tcPr>
    </w:tblStylePr>
  </w:style>
  <w:style w:type="table" w:styleId="913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Color="accent5"/>
      </w:tcPr>
    </w:tblStylePr>
  </w:style>
  <w:style w:type="table" w:styleId="914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Color="accent6"/>
      </w:tcPr>
    </w:tblStylePr>
  </w:style>
  <w:style w:type="table" w:styleId="915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6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7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8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9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20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21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22">
    <w:name w:val="Hyperlink"/>
    <w:uiPriority w:val="99"/>
    <w:unhideWhenUsed/>
    <w:rPr>
      <w:color w:val="0000FF" w:themeColor="hyperlink"/>
      <w:u w:val="single"/>
    </w:rPr>
  </w:style>
  <w:style w:type="paragraph" w:styleId="923">
    <w:name w:val="footnote text"/>
    <w:basedOn w:val="940"/>
    <w:link w:val="924"/>
    <w:uiPriority w:val="99"/>
    <w:semiHidden/>
    <w:unhideWhenUsed/>
    <w:rPr>
      <w:sz w:val="18"/>
    </w:rPr>
    <w:pPr>
      <w:spacing w:lineRule="auto" w:line="240" w:after="40"/>
    </w:pPr>
  </w:style>
  <w:style w:type="character" w:styleId="924">
    <w:name w:val="Footnote Text Char"/>
    <w:link w:val="923"/>
    <w:uiPriority w:val="99"/>
    <w:rPr>
      <w:sz w:val="18"/>
    </w:rPr>
  </w:style>
  <w:style w:type="character" w:styleId="925">
    <w:name w:val="footnote reference"/>
    <w:uiPriority w:val="99"/>
    <w:unhideWhenUsed/>
    <w:rPr>
      <w:vertAlign w:val="superscript"/>
    </w:rPr>
  </w:style>
  <w:style w:type="paragraph" w:styleId="926">
    <w:name w:val="endnote text"/>
    <w:basedOn w:val="940"/>
    <w:link w:val="927"/>
    <w:uiPriority w:val="99"/>
    <w:semiHidden/>
    <w:unhideWhenUsed/>
    <w:rPr>
      <w:sz w:val="20"/>
    </w:rPr>
    <w:pPr>
      <w:spacing w:lineRule="auto" w:line="240" w:after="0"/>
    </w:pPr>
  </w:style>
  <w:style w:type="character" w:styleId="927">
    <w:name w:val="Endnote Text Char"/>
    <w:link w:val="926"/>
    <w:uiPriority w:val="99"/>
    <w:rPr>
      <w:sz w:val="20"/>
    </w:rPr>
  </w:style>
  <w:style w:type="character" w:styleId="928">
    <w:name w:val="endnote reference"/>
    <w:uiPriority w:val="99"/>
    <w:semiHidden/>
    <w:unhideWhenUsed/>
    <w:rPr>
      <w:vertAlign w:val="superscript"/>
    </w:rPr>
  </w:style>
  <w:style w:type="paragraph" w:styleId="929">
    <w:name w:val="toc 1"/>
    <w:basedOn w:val="940"/>
    <w:next w:val="940"/>
    <w:uiPriority w:val="39"/>
    <w:unhideWhenUsed/>
    <w:pPr>
      <w:ind w:left="0" w:right="0" w:firstLine="0"/>
      <w:spacing w:after="57"/>
    </w:pPr>
  </w:style>
  <w:style w:type="paragraph" w:styleId="930">
    <w:name w:val="toc 2"/>
    <w:basedOn w:val="940"/>
    <w:next w:val="940"/>
    <w:uiPriority w:val="39"/>
    <w:unhideWhenUsed/>
    <w:pPr>
      <w:ind w:left="283" w:right="0" w:firstLine="0"/>
      <w:spacing w:after="57"/>
    </w:pPr>
  </w:style>
  <w:style w:type="paragraph" w:styleId="931">
    <w:name w:val="toc 3"/>
    <w:basedOn w:val="940"/>
    <w:next w:val="940"/>
    <w:uiPriority w:val="39"/>
    <w:unhideWhenUsed/>
    <w:pPr>
      <w:ind w:left="567" w:right="0" w:firstLine="0"/>
      <w:spacing w:after="57"/>
    </w:pPr>
  </w:style>
  <w:style w:type="paragraph" w:styleId="932">
    <w:name w:val="toc 4"/>
    <w:basedOn w:val="940"/>
    <w:next w:val="940"/>
    <w:uiPriority w:val="39"/>
    <w:unhideWhenUsed/>
    <w:pPr>
      <w:ind w:left="850" w:right="0" w:firstLine="0"/>
      <w:spacing w:after="57"/>
    </w:pPr>
  </w:style>
  <w:style w:type="paragraph" w:styleId="933">
    <w:name w:val="toc 5"/>
    <w:basedOn w:val="940"/>
    <w:next w:val="940"/>
    <w:uiPriority w:val="39"/>
    <w:unhideWhenUsed/>
    <w:pPr>
      <w:ind w:left="1134" w:right="0" w:firstLine="0"/>
      <w:spacing w:after="57"/>
    </w:pPr>
  </w:style>
  <w:style w:type="paragraph" w:styleId="934">
    <w:name w:val="toc 6"/>
    <w:basedOn w:val="940"/>
    <w:next w:val="940"/>
    <w:uiPriority w:val="39"/>
    <w:unhideWhenUsed/>
    <w:pPr>
      <w:ind w:left="1417" w:right="0" w:firstLine="0"/>
      <w:spacing w:after="57"/>
    </w:pPr>
  </w:style>
  <w:style w:type="paragraph" w:styleId="935">
    <w:name w:val="toc 7"/>
    <w:basedOn w:val="940"/>
    <w:next w:val="940"/>
    <w:uiPriority w:val="39"/>
    <w:unhideWhenUsed/>
    <w:pPr>
      <w:ind w:left="1701" w:right="0" w:firstLine="0"/>
      <w:spacing w:after="57"/>
    </w:pPr>
  </w:style>
  <w:style w:type="paragraph" w:styleId="936">
    <w:name w:val="toc 8"/>
    <w:basedOn w:val="940"/>
    <w:next w:val="940"/>
    <w:uiPriority w:val="39"/>
    <w:unhideWhenUsed/>
    <w:pPr>
      <w:ind w:left="1984" w:right="0" w:firstLine="0"/>
      <w:spacing w:after="57"/>
    </w:pPr>
  </w:style>
  <w:style w:type="paragraph" w:styleId="937">
    <w:name w:val="toc 9"/>
    <w:basedOn w:val="940"/>
    <w:next w:val="940"/>
    <w:uiPriority w:val="39"/>
    <w:unhideWhenUsed/>
    <w:pPr>
      <w:ind w:left="2268" w:right="0" w:firstLine="0"/>
      <w:spacing w:after="57"/>
    </w:pPr>
  </w:style>
  <w:style w:type="paragraph" w:styleId="938">
    <w:name w:val="TOC Heading"/>
    <w:uiPriority w:val="39"/>
    <w:unhideWhenUsed/>
  </w:style>
  <w:style w:type="paragraph" w:styleId="939">
    <w:name w:val="table of figures"/>
    <w:basedOn w:val="940"/>
    <w:next w:val="940"/>
    <w:uiPriority w:val="99"/>
    <w:unhideWhenUsed/>
    <w:pPr>
      <w:spacing w:after="0" w:afterAutospacing="0"/>
    </w:pPr>
  </w:style>
  <w:style w:type="paragraph" w:styleId="940" w:default="1">
    <w:name w:val="Normal"/>
    <w:next w:val="940"/>
    <w:link w:val="940"/>
    <w:qFormat/>
    <w:rPr>
      <w:rFonts w:ascii="Times New Roman" w:hAnsi="Times New Roman"/>
      <w:sz w:val="24"/>
      <w:szCs w:val="22"/>
      <w:lang w:val="ru-RU" w:bidi="ar-SA" w:eastAsia="en-US"/>
    </w:rPr>
    <w:pPr>
      <w:jc w:val="both"/>
      <w:spacing w:lineRule="auto" w:line="276"/>
    </w:pPr>
  </w:style>
  <w:style w:type="paragraph" w:styleId="941">
    <w:name w:val="Заголовок 1"/>
    <w:basedOn w:val="940"/>
    <w:next w:val="940"/>
    <w:link w:val="951"/>
    <w:qFormat/>
    <w:uiPriority w:val="9"/>
    <w:rPr>
      <w:rFonts w:cs="Times New Roman" w:eastAsia="Times New Roman"/>
      <w:b/>
      <w:bCs/>
      <w:sz w:val="28"/>
      <w:szCs w:val="28"/>
    </w:rPr>
    <w:pPr>
      <w:numPr>
        <w:ilvl w:val="0"/>
        <w:numId w:val="18"/>
      </w:numPr>
      <w:keepLines/>
      <w:keepNext/>
      <w:spacing w:before="480"/>
      <w:outlineLvl w:val="0"/>
    </w:pPr>
  </w:style>
  <w:style w:type="paragraph" w:styleId="942">
    <w:name w:val="Заголовок 2"/>
    <w:basedOn w:val="940"/>
    <w:next w:val="940"/>
    <w:link w:val="1080"/>
    <w:qFormat/>
    <w:uiPriority w:val="9"/>
    <w:rPr>
      <w:rFonts w:cs="Times New Roman" w:eastAsia="Times New Roman"/>
      <w:b/>
      <w:bCs/>
      <w:sz w:val="26"/>
      <w:szCs w:val="26"/>
    </w:rPr>
    <w:pPr>
      <w:keepLines/>
      <w:keepNext/>
      <w:spacing w:before="200"/>
      <w:outlineLvl w:val="1"/>
    </w:pPr>
  </w:style>
  <w:style w:type="paragraph" w:styleId="943">
    <w:name w:val="Заголовок 3"/>
    <w:basedOn w:val="940"/>
    <w:next w:val="940"/>
    <w:link w:val="1082"/>
    <w:qFormat/>
    <w:uiPriority w:val="9"/>
    <w:rPr>
      <w:rFonts w:cs="Times New Roman" w:eastAsia="Times New Roman"/>
      <w:b/>
      <w:bCs/>
      <w:sz w:val="26"/>
    </w:rPr>
    <w:pPr>
      <w:keepLines/>
      <w:keepNext/>
      <w:spacing w:before="200"/>
      <w:outlineLvl w:val="2"/>
    </w:pPr>
  </w:style>
  <w:style w:type="paragraph" w:styleId="944">
    <w:name w:val="Заголовок 4"/>
    <w:basedOn w:val="940"/>
    <w:next w:val="940"/>
    <w:link w:val="1077"/>
    <w:qFormat/>
    <w:uiPriority w:val="9"/>
    <w:rPr>
      <w:rFonts w:ascii="Cambria" w:hAnsi="Cambria" w:cs="Times New Roman" w:eastAsia="Times New Roman"/>
      <w:b/>
      <w:bCs/>
      <w:i/>
      <w:iCs/>
      <w:color w:val="4F81BD"/>
    </w:rPr>
    <w:pPr>
      <w:keepLines/>
      <w:keepNext/>
      <w:spacing w:before="200"/>
      <w:outlineLvl w:val="3"/>
    </w:pPr>
  </w:style>
  <w:style w:type="paragraph" w:styleId="945">
    <w:name w:val="Заголовок 5"/>
    <w:basedOn w:val="940"/>
    <w:next w:val="940"/>
    <w:link w:val="1073"/>
    <w:qFormat/>
    <w:uiPriority w:val="9"/>
    <w:rPr>
      <w:rFonts w:ascii="Cambria" w:hAnsi="Cambria" w:cs="Times New Roman" w:eastAsia="Times New Roman"/>
      <w:color w:val="243F60"/>
    </w:rPr>
    <w:pPr>
      <w:keepLines/>
      <w:keepNext/>
      <w:spacing w:before="200"/>
      <w:outlineLvl w:val="4"/>
    </w:pPr>
  </w:style>
  <w:style w:type="paragraph" w:styleId="946">
    <w:name w:val="Заголовок 6"/>
    <w:basedOn w:val="940"/>
    <w:next w:val="940"/>
    <w:link w:val="975"/>
    <w:qFormat/>
    <w:rPr>
      <w:rFonts w:cs="Times New Roman" w:eastAsia="Times New Roman"/>
      <w:b/>
      <w:bCs/>
      <w:lang w:eastAsia="ru-RU"/>
    </w:rPr>
    <w:pPr>
      <w:spacing w:lineRule="auto" w:line="240" w:after="60" w:before="240"/>
      <w:outlineLvl w:val="5"/>
    </w:pPr>
  </w:style>
  <w:style w:type="character" w:styleId="947">
    <w:name w:val="Основной шрифт абзаца"/>
    <w:next w:val="947"/>
    <w:link w:val="940"/>
    <w:uiPriority w:val="1"/>
    <w:unhideWhenUsed/>
  </w:style>
  <w:style w:type="table" w:styleId="948">
    <w:name w:val="Обычная таблица"/>
    <w:next w:val="948"/>
    <w:link w:val="940"/>
    <w:qFormat/>
    <w:uiPriority w:val="99"/>
    <w:semiHidden/>
    <w:unhideWhenUsed/>
    <w:tblPr/>
  </w:style>
  <w:style w:type="numbering" w:styleId="949">
    <w:name w:val="Нет списка"/>
    <w:next w:val="949"/>
    <w:link w:val="940"/>
    <w:uiPriority w:val="99"/>
    <w:semiHidden/>
    <w:unhideWhenUsed/>
  </w:style>
  <w:style w:type="paragraph" w:styleId="950">
    <w:name w:val="Цветной список - Акцент 1"/>
    <w:basedOn w:val="940"/>
    <w:next w:val="950"/>
    <w:link w:val="940"/>
    <w:qFormat/>
    <w:uiPriority w:val="34"/>
    <w:pPr>
      <w:contextualSpacing w:val="true"/>
      <w:ind w:left="720"/>
    </w:pPr>
  </w:style>
  <w:style w:type="character" w:styleId="951">
    <w:name w:val="Заголовок 1 Знак"/>
    <w:next w:val="951"/>
    <w:link w:val="941"/>
    <w:uiPriority w:val="9"/>
    <w:rPr>
      <w:rFonts w:ascii="Times New Roman" w:hAnsi="Times New Roman" w:eastAsia="Times New Roman"/>
      <w:b/>
      <w:bCs/>
      <w:sz w:val="28"/>
      <w:szCs w:val="28"/>
      <w:lang w:eastAsia="en-US"/>
    </w:rPr>
  </w:style>
  <w:style w:type="paragraph" w:styleId="952">
    <w:name w:val="Основной текст с отступом"/>
    <w:basedOn w:val="940"/>
    <w:next w:val="952"/>
    <w:link w:val="953"/>
    <w:semiHidden/>
    <w:rPr>
      <w:rFonts w:cs="Times New Roman" w:eastAsia="Times New Roman"/>
      <w:sz w:val="24"/>
      <w:szCs w:val="24"/>
      <w:lang w:eastAsia="ru-RU"/>
    </w:rPr>
    <w:pPr>
      <w:ind w:firstLine="708"/>
      <w:spacing w:lineRule="auto" w:line="240"/>
    </w:pPr>
  </w:style>
  <w:style w:type="character" w:styleId="953">
    <w:name w:val="Основной текст с отступом Знак"/>
    <w:next w:val="953"/>
    <w:link w:val="952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954">
    <w:name w:val="Подзаголовок ДИ"/>
    <w:basedOn w:val="940"/>
    <w:next w:val="954"/>
    <w:link w:val="955"/>
    <w:rPr>
      <w:rFonts w:cs="Times New Roman" w:eastAsia="Times New Roman"/>
      <w:sz w:val="24"/>
      <w:szCs w:val="24"/>
      <w:lang w:val="en-US" w:eastAsia="ru-RU"/>
    </w:rPr>
    <w:pPr>
      <w:numPr>
        <w:ilvl w:val="1"/>
        <w:numId w:val="1"/>
      </w:numPr>
      <w:spacing w:lineRule="auto" w:line="264"/>
      <w:widowControl w:val="off"/>
    </w:pPr>
  </w:style>
  <w:style w:type="character" w:styleId="955">
    <w:name w:val="Подзаголовок ДИ Знак Знак"/>
    <w:next w:val="955"/>
    <w:link w:val="954"/>
    <w:rPr>
      <w:rFonts w:ascii="Times New Roman" w:hAnsi="Times New Roman" w:eastAsia="Times New Roman"/>
      <w:sz w:val="24"/>
      <w:szCs w:val="24"/>
      <w:lang w:val="en-US"/>
    </w:rPr>
  </w:style>
  <w:style w:type="paragraph" w:styleId="956">
    <w:name w:val="Подподзаголовок"/>
    <w:basedOn w:val="940"/>
    <w:next w:val="956"/>
    <w:link w:val="940"/>
    <w:rPr>
      <w:rFonts w:cs="Times New Roman" w:eastAsia="Times New Roman"/>
      <w:b/>
      <w:i/>
      <w:sz w:val="26"/>
      <w:szCs w:val="26"/>
      <w:lang w:eastAsia="ru-RU"/>
    </w:rPr>
    <w:pPr>
      <w:numPr>
        <w:ilvl w:val="2"/>
        <w:numId w:val="1"/>
      </w:numPr>
      <w:spacing w:lineRule="auto" w:line="312" w:before="120"/>
      <w:widowControl w:val="off"/>
    </w:pPr>
  </w:style>
  <w:style w:type="character" w:styleId="957">
    <w:name w:val="Заголовок 2 Знак"/>
    <w:next w:val="957"/>
    <w:link w:val="940"/>
    <w:uiPriority w:val="9"/>
    <w:rPr>
      <w:rFonts w:ascii="Times New Roman" w:hAnsi="Times New Roman" w:cs="Times New Roman" w:eastAsia="Times New Roman"/>
      <w:b/>
      <w:bCs/>
      <w:sz w:val="26"/>
      <w:szCs w:val="26"/>
    </w:rPr>
  </w:style>
  <w:style w:type="numbering" w:styleId="958">
    <w:name w:val="Стиль1"/>
    <w:next w:val="958"/>
    <w:link w:val="940"/>
    <w:uiPriority w:val="99"/>
    <w:pPr>
      <w:numPr>
        <w:ilvl w:val="0"/>
        <w:numId w:val="2"/>
      </w:numPr>
    </w:pPr>
  </w:style>
  <w:style w:type="numbering" w:styleId="959">
    <w:name w:val="Стиль2"/>
    <w:next w:val="959"/>
    <w:link w:val="940"/>
    <w:uiPriority w:val="99"/>
    <w:pPr>
      <w:numPr>
        <w:ilvl w:val="0"/>
        <w:numId w:val="3"/>
      </w:numPr>
    </w:pPr>
  </w:style>
  <w:style w:type="paragraph" w:styleId="960">
    <w:name w:val="Верхний колонтитул"/>
    <w:basedOn w:val="940"/>
    <w:next w:val="960"/>
    <w:link w:val="961"/>
    <w:unhideWhenUsed/>
    <w:pPr>
      <w:spacing w:lineRule="auto" w:line="240"/>
      <w:tabs>
        <w:tab w:val="center" w:pos="4677" w:leader="none"/>
        <w:tab w:val="right" w:pos="9355" w:leader="none"/>
      </w:tabs>
    </w:pPr>
  </w:style>
  <w:style w:type="character" w:styleId="961">
    <w:name w:val="Верхний колонтитул Знак"/>
    <w:basedOn w:val="947"/>
    <w:next w:val="961"/>
    <w:link w:val="960"/>
    <w:uiPriority w:val="99"/>
  </w:style>
  <w:style w:type="paragraph" w:styleId="962">
    <w:name w:val="Нижний колонтитул"/>
    <w:basedOn w:val="940"/>
    <w:next w:val="962"/>
    <w:link w:val="963"/>
    <w:uiPriority w:val="99"/>
    <w:unhideWhenUsed/>
    <w:pPr>
      <w:spacing w:lineRule="auto" w:line="240"/>
      <w:tabs>
        <w:tab w:val="center" w:pos="4677" w:leader="none"/>
        <w:tab w:val="right" w:pos="9355" w:leader="none"/>
      </w:tabs>
    </w:pPr>
  </w:style>
  <w:style w:type="character" w:styleId="963">
    <w:name w:val="Нижний колонтитул Знак"/>
    <w:basedOn w:val="947"/>
    <w:next w:val="963"/>
    <w:link w:val="962"/>
    <w:uiPriority w:val="99"/>
  </w:style>
  <w:style w:type="paragraph" w:styleId="964">
    <w:name w:val="Текст выноски"/>
    <w:basedOn w:val="940"/>
    <w:next w:val="964"/>
    <w:link w:val="965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/>
    </w:pPr>
  </w:style>
  <w:style w:type="character" w:styleId="965">
    <w:name w:val="Текст выноски Знак"/>
    <w:next w:val="965"/>
    <w:link w:val="964"/>
    <w:uiPriority w:val="99"/>
    <w:semiHidden/>
    <w:rPr>
      <w:rFonts w:ascii="Tahoma" w:hAnsi="Tahoma" w:cs="Tahoma"/>
      <w:sz w:val="16"/>
      <w:szCs w:val="16"/>
    </w:rPr>
  </w:style>
  <w:style w:type="table" w:styleId="966">
    <w:name w:val="Сетка таблицы"/>
    <w:basedOn w:val="948"/>
    <w:next w:val="966"/>
    <w:link w:val="940"/>
    <w:uiPriority w:val="59"/>
    <w:pPr>
      <w:spacing w:lineRule="auto" w:line="240" w:after="0"/>
    </w:pPr>
    <w:tblPr/>
  </w:style>
  <w:style w:type="paragraph" w:styleId="967">
    <w:name w:val="Название"/>
    <w:basedOn w:val="940"/>
    <w:next w:val="940"/>
    <w:link w:val="968"/>
    <w:qFormat/>
    <w:uiPriority w:val="10"/>
    <w:rPr>
      <w:rFonts w:ascii="Cambria" w:hAnsi="Cambria" w:cs="Times New Roman" w:eastAsia="Times New Roman"/>
      <w:color w:val="17365D"/>
      <w:spacing w:val="5"/>
      <w:sz w:val="52"/>
      <w:szCs w:val="52"/>
    </w:rPr>
    <w:pPr>
      <w:contextualSpacing w:val="true"/>
      <w:spacing w:lineRule="auto" w:line="240" w:after="300"/>
      <w:pBdr>
        <w:bottom w:val="single" w:color="4F81BD" w:sz="8" w:space="4"/>
      </w:pBdr>
    </w:pPr>
  </w:style>
  <w:style w:type="character" w:styleId="968">
    <w:name w:val="Название Знак"/>
    <w:next w:val="968"/>
    <w:link w:val="967"/>
    <w:uiPriority w:val="10"/>
    <w:rPr>
      <w:rFonts w:ascii="Cambria" w:hAnsi="Cambria" w:cs="Times New Roman" w:eastAsia="Times New Roman"/>
      <w:color w:val="17365D"/>
      <w:spacing w:val="5"/>
      <w:sz w:val="52"/>
      <w:szCs w:val="52"/>
    </w:rPr>
  </w:style>
  <w:style w:type="paragraph" w:styleId="969">
    <w:name w:val="Заголовок оглавления"/>
    <w:basedOn w:val="941"/>
    <w:next w:val="940"/>
    <w:link w:val="940"/>
    <w:qFormat/>
    <w:uiPriority w:val="39"/>
    <w:unhideWhenUsed/>
    <w:pPr>
      <w:outlineLvl w:val="9"/>
    </w:pPr>
  </w:style>
  <w:style w:type="paragraph" w:styleId="970">
    <w:name w:val="Оглавление 1"/>
    <w:basedOn w:val="940"/>
    <w:next w:val="940"/>
    <w:link w:val="940"/>
    <w:uiPriority w:val="39"/>
    <w:unhideWhenUsed/>
    <w:pPr>
      <w:ind w:left="426" w:hanging="426"/>
      <w:jc w:val="left"/>
      <w:spacing w:after="100"/>
      <w:tabs>
        <w:tab w:val="left" w:pos="440" w:leader="none"/>
        <w:tab w:val="right" w:pos="10196" w:leader="dot"/>
      </w:tabs>
    </w:pPr>
  </w:style>
  <w:style w:type="paragraph" w:styleId="971">
    <w:name w:val="Оглавление 2"/>
    <w:basedOn w:val="940"/>
    <w:next w:val="940"/>
    <w:link w:val="940"/>
    <w:uiPriority w:val="39"/>
    <w:unhideWhenUsed/>
    <w:pPr>
      <w:ind w:left="220"/>
      <w:spacing w:after="100"/>
    </w:pPr>
  </w:style>
  <w:style w:type="character" w:styleId="972">
    <w:name w:val="Гиперссылка"/>
    <w:next w:val="972"/>
    <w:link w:val="940"/>
    <w:uiPriority w:val="99"/>
    <w:unhideWhenUsed/>
    <w:rPr>
      <w:color w:val="0000FF"/>
      <w:u w:val="single"/>
    </w:rPr>
  </w:style>
  <w:style w:type="paragraph" w:styleId="973">
    <w:name w:val="Основной текст"/>
    <w:basedOn w:val="940"/>
    <w:next w:val="973"/>
    <w:link w:val="974"/>
    <w:uiPriority w:val="99"/>
    <w:unhideWhenUsed/>
    <w:pPr>
      <w:spacing w:after="120"/>
    </w:pPr>
  </w:style>
  <w:style w:type="character" w:styleId="974">
    <w:name w:val="Основной текст Знак"/>
    <w:basedOn w:val="947"/>
    <w:next w:val="974"/>
    <w:link w:val="973"/>
    <w:uiPriority w:val="99"/>
  </w:style>
  <w:style w:type="character" w:styleId="975">
    <w:name w:val="Заголовок 6 Знак"/>
    <w:next w:val="975"/>
    <w:link w:val="946"/>
    <w:rPr>
      <w:rFonts w:ascii="Times New Roman" w:hAnsi="Times New Roman" w:cs="Times New Roman" w:eastAsia="Times New Roman"/>
      <w:b/>
      <w:bCs/>
      <w:lang w:eastAsia="ru-RU"/>
    </w:rPr>
  </w:style>
  <w:style w:type="paragraph" w:styleId="976">
    <w:name w:val="ConsPlusNonformat"/>
    <w:next w:val="976"/>
    <w:link w:val="940"/>
    <w:rPr>
      <w:rFonts w:ascii="Courier New" w:hAnsi="Courier New" w:cs="Courier New"/>
      <w:lang w:val="ru-RU" w:bidi="ar-SA" w:eastAsia="ru-RU"/>
    </w:rPr>
    <w:pPr>
      <w:widowControl w:val="off"/>
    </w:pPr>
  </w:style>
  <w:style w:type="numbering" w:styleId="977">
    <w:name w:val="Стиль3"/>
    <w:next w:val="977"/>
    <w:link w:val="940"/>
    <w:uiPriority w:val="99"/>
    <w:pPr>
      <w:numPr>
        <w:ilvl w:val="0"/>
        <w:numId w:val="4"/>
      </w:numPr>
    </w:pPr>
  </w:style>
  <w:style w:type="numbering" w:styleId="978">
    <w:name w:val="Стиль4"/>
    <w:next w:val="978"/>
    <w:link w:val="940"/>
    <w:uiPriority w:val="99"/>
    <w:pPr>
      <w:numPr>
        <w:ilvl w:val="0"/>
        <w:numId w:val="5"/>
      </w:numPr>
    </w:pPr>
  </w:style>
  <w:style w:type="paragraph" w:styleId="979">
    <w:name w:val="Текст сноски"/>
    <w:basedOn w:val="940"/>
    <w:next w:val="979"/>
    <w:link w:val="980"/>
    <w:semiHidden/>
    <w:unhideWhenUsed/>
    <w:rPr>
      <w:sz w:val="20"/>
      <w:szCs w:val="20"/>
    </w:rPr>
    <w:pPr>
      <w:spacing w:lineRule="auto" w:line="240"/>
    </w:pPr>
  </w:style>
  <w:style w:type="character" w:styleId="980">
    <w:name w:val="Текст сноски Знак"/>
    <w:next w:val="980"/>
    <w:link w:val="979"/>
    <w:semiHidden/>
    <w:rPr>
      <w:sz w:val="20"/>
      <w:szCs w:val="20"/>
    </w:rPr>
  </w:style>
  <w:style w:type="character" w:styleId="981">
    <w:name w:val="Знак сноски"/>
    <w:next w:val="981"/>
    <w:link w:val="940"/>
    <w:uiPriority w:val="99"/>
    <w:semiHidden/>
    <w:unhideWhenUsed/>
    <w:rPr>
      <w:vertAlign w:val="superscript"/>
    </w:rPr>
  </w:style>
  <w:style w:type="numbering" w:styleId="982">
    <w:name w:val="Стиль5"/>
    <w:next w:val="982"/>
    <w:link w:val="940"/>
    <w:uiPriority w:val="99"/>
    <w:pPr>
      <w:numPr>
        <w:ilvl w:val="0"/>
        <w:numId w:val="6"/>
      </w:numPr>
    </w:pPr>
  </w:style>
  <w:style w:type="numbering" w:styleId="983">
    <w:name w:val="Стиль6"/>
    <w:next w:val="983"/>
    <w:link w:val="940"/>
    <w:uiPriority w:val="99"/>
    <w:pPr>
      <w:numPr>
        <w:ilvl w:val="0"/>
        <w:numId w:val="7"/>
      </w:numPr>
    </w:pPr>
  </w:style>
  <w:style w:type="numbering" w:styleId="984">
    <w:name w:val="Стиль7"/>
    <w:next w:val="984"/>
    <w:link w:val="940"/>
    <w:uiPriority w:val="99"/>
    <w:pPr>
      <w:numPr>
        <w:ilvl w:val="0"/>
        <w:numId w:val="8"/>
      </w:numPr>
    </w:pPr>
  </w:style>
  <w:style w:type="character" w:styleId="985">
    <w:name w:val="Знак примечания"/>
    <w:next w:val="985"/>
    <w:link w:val="940"/>
    <w:uiPriority w:val="99"/>
    <w:semiHidden/>
    <w:unhideWhenUsed/>
    <w:rPr>
      <w:sz w:val="16"/>
      <w:szCs w:val="16"/>
    </w:rPr>
  </w:style>
  <w:style w:type="paragraph" w:styleId="986">
    <w:name w:val="Текст примечания"/>
    <w:basedOn w:val="940"/>
    <w:next w:val="986"/>
    <w:link w:val="987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987">
    <w:name w:val="Текст примечания Знак"/>
    <w:next w:val="987"/>
    <w:link w:val="986"/>
    <w:uiPriority w:val="99"/>
    <w:semiHidden/>
    <w:rPr>
      <w:sz w:val="20"/>
      <w:szCs w:val="20"/>
    </w:rPr>
  </w:style>
  <w:style w:type="paragraph" w:styleId="988">
    <w:name w:val="Тема примечания"/>
    <w:basedOn w:val="986"/>
    <w:next w:val="986"/>
    <w:link w:val="989"/>
    <w:uiPriority w:val="99"/>
    <w:semiHidden/>
    <w:unhideWhenUsed/>
    <w:rPr>
      <w:b/>
      <w:bCs/>
    </w:rPr>
  </w:style>
  <w:style w:type="character" w:styleId="989">
    <w:name w:val="Тема примечания Знак"/>
    <w:next w:val="989"/>
    <w:link w:val="988"/>
    <w:uiPriority w:val="99"/>
    <w:semiHidden/>
    <w:rPr>
      <w:b/>
      <w:bCs/>
      <w:sz w:val="20"/>
      <w:szCs w:val="20"/>
    </w:rPr>
  </w:style>
  <w:style w:type="numbering" w:styleId="990">
    <w:name w:val="8"/>
    <w:next w:val="990"/>
    <w:link w:val="940"/>
    <w:uiPriority w:val="99"/>
    <w:pPr>
      <w:numPr>
        <w:ilvl w:val="0"/>
        <w:numId w:val="9"/>
      </w:numPr>
    </w:pPr>
  </w:style>
  <w:style w:type="numbering" w:styleId="991">
    <w:name w:val="9"/>
    <w:next w:val="991"/>
    <w:link w:val="940"/>
    <w:uiPriority w:val="99"/>
    <w:pPr>
      <w:numPr>
        <w:ilvl w:val="0"/>
        <w:numId w:val="10"/>
      </w:numPr>
    </w:pPr>
  </w:style>
  <w:style w:type="numbering" w:styleId="992">
    <w:name w:val="13"/>
    <w:next w:val="992"/>
    <w:link w:val="940"/>
    <w:uiPriority w:val="99"/>
    <w:pPr>
      <w:numPr>
        <w:ilvl w:val="0"/>
        <w:numId w:val="11"/>
      </w:numPr>
    </w:pPr>
  </w:style>
  <w:style w:type="numbering" w:styleId="993">
    <w:name w:val="11"/>
    <w:next w:val="993"/>
    <w:link w:val="940"/>
    <w:uiPriority w:val="99"/>
    <w:pPr>
      <w:numPr>
        <w:ilvl w:val="0"/>
        <w:numId w:val="12"/>
      </w:numPr>
    </w:pPr>
  </w:style>
  <w:style w:type="numbering" w:styleId="994">
    <w:name w:val="12"/>
    <w:next w:val="994"/>
    <w:link w:val="940"/>
    <w:uiPriority w:val="99"/>
    <w:pPr>
      <w:numPr>
        <w:ilvl w:val="0"/>
        <w:numId w:val="13"/>
      </w:numPr>
    </w:pPr>
  </w:style>
  <w:style w:type="numbering" w:styleId="995">
    <w:name w:val="10"/>
    <w:next w:val="995"/>
    <w:link w:val="940"/>
    <w:uiPriority w:val="99"/>
    <w:pPr>
      <w:numPr>
        <w:ilvl w:val="0"/>
        <w:numId w:val="14"/>
      </w:numPr>
    </w:pPr>
  </w:style>
  <w:style w:type="paragraph" w:styleId="996">
    <w:name w:val="Основной текст 2"/>
    <w:basedOn w:val="940"/>
    <w:next w:val="996"/>
    <w:link w:val="997"/>
    <w:uiPriority w:val="99"/>
    <w:semiHidden/>
    <w:unhideWhenUsed/>
    <w:pPr>
      <w:spacing w:lineRule="auto" w:line="480" w:after="120"/>
    </w:pPr>
  </w:style>
  <w:style w:type="character" w:styleId="997">
    <w:name w:val="Основной текст 2 Знак"/>
    <w:basedOn w:val="947"/>
    <w:next w:val="997"/>
    <w:link w:val="996"/>
    <w:uiPriority w:val="99"/>
    <w:semiHidden/>
  </w:style>
  <w:style w:type="paragraph" w:styleId="998">
    <w:name w:val="Основной текст с отступом 3"/>
    <w:basedOn w:val="940"/>
    <w:next w:val="998"/>
    <w:link w:val="999"/>
    <w:uiPriority w:val="99"/>
    <w:semiHidden/>
    <w:unhideWhenUsed/>
    <w:rPr>
      <w:sz w:val="16"/>
      <w:szCs w:val="16"/>
    </w:rPr>
    <w:pPr>
      <w:ind w:left="283"/>
      <w:spacing w:after="120"/>
    </w:pPr>
  </w:style>
  <w:style w:type="character" w:styleId="999">
    <w:name w:val="Основной текст с отступом 3 Знак"/>
    <w:next w:val="999"/>
    <w:link w:val="998"/>
    <w:uiPriority w:val="99"/>
    <w:semiHidden/>
    <w:rPr>
      <w:sz w:val="16"/>
      <w:szCs w:val="16"/>
    </w:rPr>
  </w:style>
  <w:style w:type="paragraph" w:styleId="1000">
    <w:name w:val="Цитата"/>
    <w:basedOn w:val="940"/>
    <w:next w:val="1000"/>
    <w:link w:val="940"/>
    <w:rPr>
      <w:rFonts w:cs="Times New Roman" w:eastAsia="Times New Roman"/>
      <w:sz w:val="20"/>
      <w:szCs w:val="20"/>
      <w:lang w:eastAsia="ru-RU"/>
    </w:rPr>
    <w:pPr>
      <w:ind w:left="1701" w:right="993"/>
      <w:spacing w:lineRule="auto" w:line="240"/>
    </w:pPr>
  </w:style>
  <w:style w:type="paragraph" w:styleId="1001">
    <w:name w:val="Обычный 9пт"/>
    <w:basedOn w:val="940"/>
    <w:next w:val="1001"/>
    <w:link w:val="940"/>
    <w:rPr>
      <w:rFonts w:cs="Times New Roman" w:eastAsia="Times New Roman"/>
      <w:sz w:val="18"/>
      <w:szCs w:val="24"/>
      <w:lang w:eastAsia="ru-RU"/>
    </w:rPr>
    <w:pPr>
      <w:spacing w:lineRule="auto" w:line="240"/>
      <w:tabs>
        <w:tab w:val="left" w:pos="680" w:leader="none"/>
        <w:tab w:val="left" w:pos="2495" w:leader="none"/>
        <w:tab w:val="left" w:pos="3742" w:leader="none"/>
        <w:tab w:val="left" w:pos="4990" w:leader="none"/>
        <w:tab w:val="left" w:pos="6237" w:leader="none"/>
        <w:tab w:val="left" w:pos="7484" w:leader="none"/>
        <w:tab w:val="left" w:pos="8732" w:leader="none"/>
        <w:tab w:val="left" w:pos="9979" w:leader="none"/>
      </w:tabs>
    </w:pPr>
  </w:style>
  <w:style w:type="paragraph" w:styleId="1002">
    <w:name w:val="Текст"/>
    <w:basedOn w:val="940"/>
    <w:next w:val="1002"/>
    <w:link w:val="1003"/>
    <w:uiPriority w:val="99"/>
    <w:rPr>
      <w:rFonts w:ascii="Courier New" w:hAnsi="Courier New" w:cs="Times New Roman" w:eastAsia="Times New Roman"/>
      <w:sz w:val="20"/>
      <w:szCs w:val="20"/>
      <w:lang w:eastAsia="ru-RU"/>
    </w:rPr>
    <w:pPr>
      <w:spacing w:lineRule="auto" w:line="240"/>
    </w:pPr>
  </w:style>
  <w:style w:type="character" w:styleId="1003">
    <w:name w:val="Текст Знак"/>
    <w:next w:val="1003"/>
    <w:link w:val="1002"/>
    <w:uiPriority w:val="99"/>
    <w:rPr>
      <w:rFonts w:ascii="Courier New" w:hAnsi="Courier New" w:cs="Times New Roman" w:eastAsia="Times New Roman"/>
      <w:sz w:val="20"/>
      <w:szCs w:val="20"/>
      <w:lang w:eastAsia="ru-RU"/>
    </w:rPr>
  </w:style>
  <w:style w:type="paragraph" w:styleId="1004">
    <w:name w:val="Iau?iue"/>
    <w:next w:val="1004"/>
    <w:link w:val="940"/>
    <w:rPr>
      <w:rFonts w:ascii="Times New Roman" w:hAnsi="Times New Roman" w:eastAsia="Times New Roman"/>
      <w:lang w:val="en-US" w:bidi="ar-SA" w:eastAsia="ru-RU"/>
    </w:rPr>
  </w:style>
  <w:style w:type="character" w:styleId="1005">
    <w:name w:val="Просмотренная гиперссылка"/>
    <w:next w:val="1005"/>
    <w:link w:val="940"/>
    <w:uiPriority w:val="99"/>
    <w:semiHidden/>
    <w:unhideWhenUsed/>
    <w:rPr>
      <w:color w:val="800080"/>
      <w:u w:val="single"/>
    </w:rPr>
  </w:style>
  <w:style w:type="paragraph" w:styleId="1006">
    <w:name w:val="Раздел"/>
    <w:basedOn w:val="940"/>
    <w:next w:val="1007"/>
    <w:link w:val="940"/>
    <w:rPr>
      <w:rFonts w:cs="Times New Roman" w:eastAsia="Times New Roman"/>
      <w:b/>
      <w:sz w:val="20"/>
      <w:szCs w:val="20"/>
      <w:lang w:eastAsia="ru-RU"/>
    </w:rPr>
    <w:pPr>
      <w:numPr>
        <w:ilvl w:val="1"/>
        <w:numId w:val="16"/>
      </w:numPr>
      <w:keepNext/>
      <w:spacing w:lineRule="auto" w:line="240" w:before="120"/>
      <w:outlineLvl w:val="1"/>
    </w:pPr>
  </w:style>
  <w:style w:type="paragraph" w:styleId="1007">
    <w:name w:val="Подраздел"/>
    <w:basedOn w:val="940"/>
    <w:next w:val="1007"/>
    <w:link w:val="940"/>
    <w:rPr>
      <w:rFonts w:cs="Times New Roman" w:eastAsia="Times New Roman"/>
      <w:bCs/>
      <w:sz w:val="20"/>
      <w:szCs w:val="20"/>
      <w:lang w:eastAsia="ru-RU"/>
    </w:rPr>
    <w:pPr>
      <w:numPr>
        <w:ilvl w:val="2"/>
        <w:numId w:val="16"/>
      </w:numPr>
      <w:spacing w:lineRule="auto" w:line="240" w:before="60"/>
      <w:outlineLvl w:val="2"/>
    </w:pPr>
  </w:style>
  <w:style w:type="paragraph" w:styleId="1008">
    <w:name w:val="Глава"/>
    <w:basedOn w:val="940"/>
    <w:next w:val="1006"/>
    <w:link w:val="940"/>
    <w:rPr>
      <w:rFonts w:cs="Times New Roman" w:eastAsia="Times New Roman"/>
      <w:b/>
      <w:bCs/>
      <w:sz w:val="28"/>
      <w:szCs w:val="20"/>
      <w:lang w:eastAsia="ru-RU"/>
    </w:rPr>
    <w:pPr>
      <w:numPr>
        <w:ilvl w:val="0"/>
        <w:numId w:val="16"/>
      </w:numPr>
      <w:keepLines/>
      <w:keepNext/>
      <w:spacing w:lineRule="auto" w:line="240" w:before="180"/>
    </w:pPr>
  </w:style>
  <w:style w:type="paragraph" w:styleId="1009">
    <w:name w:val="Пункт"/>
    <w:basedOn w:val="940"/>
    <w:next w:val="1009"/>
    <w:link w:val="940"/>
    <w:rPr>
      <w:rFonts w:cs="Times New Roman" w:eastAsia="Times New Roman"/>
      <w:sz w:val="24"/>
      <w:szCs w:val="24"/>
      <w:lang w:eastAsia="ru-RU"/>
    </w:rPr>
    <w:pPr>
      <w:numPr>
        <w:ilvl w:val="3"/>
        <w:numId w:val="16"/>
      </w:numPr>
      <w:spacing w:lineRule="auto" w:line="240" w:before="60"/>
      <w:outlineLvl w:val="3"/>
    </w:pPr>
  </w:style>
  <w:style w:type="paragraph" w:styleId="1010">
    <w:name w:val="Подпункт"/>
    <w:basedOn w:val="940"/>
    <w:next w:val="1010"/>
    <w:link w:val="940"/>
    <w:rPr>
      <w:rFonts w:cs="Times New Roman" w:eastAsia="Times New Roman"/>
      <w:sz w:val="24"/>
      <w:szCs w:val="24"/>
      <w:lang w:eastAsia="ru-RU"/>
    </w:rPr>
    <w:pPr>
      <w:numPr>
        <w:ilvl w:val="4"/>
        <w:numId w:val="16"/>
      </w:numPr>
      <w:spacing w:lineRule="auto" w:line="240" w:after="120"/>
      <w:outlineLvl w:val="4"/>
    </w:pPr>
  </w:style>
  <w:style w:type="paragraph" w:styleId="1011">
    <w:name w:val="5 уровень"/>
    <w:basedOn w:val="940"/>
    <w:next w:val="1011"/>
    <w:link w:val="940"/>
    <w:rPr>
      <w:rFonts w:cs="Times New Roman" w:eastAsia="Times New Roman"/>
      <w:sz w:val="20"/>
      <w:szCs w:val="20"/>
      <w:lang w:eastAsia="ru-RU"/>
    </w:rPr>
    <w:pPr>
      <w:numPr>
        <w:ilvl w:val="3"/>
        <w:numId w:val="15"/>
      </w:numPr>
      <w:ind w:firstLine="567"/>
      <w:spacing w:lineRule="auto" w:line="240"/>
      <w:tabs>
        <w:tab w:val="clear" w:pos="2214" w:leader="none"/>
      </w:tabs>
      <w:outlineLvl w:val="4"/>
    </w:pPr>
  </w:style>
  <w:style w:type="paragraph" w:styleId="1012">
    <w:name w:val="Оглавление 3"/>
    <w:basedOn w:val="940"/>
    <w:next w:val="940"/>
    <w:link w:val="940"/>
    <w:uiPriority w:val="39"/>
    <w:unhideWhenUsed/>
    <w:pPr>
      <w:ind w:left="440"/>
      <w:spacing w:after="100"/>
    </w:pPr>
  </w:style>
  <w:style w:type="paragraph" w:styleId="1013">
    <w:name w:val="Обычный отступ"/>
    <w:basedOn w:val="940"/>
    <w:next w:val="1013"/>
    <w:link w:val="940"/>
    <w:rPr>
      <w:rFonts w:cs="Times New Roman" w:eastAsia="Times New Roman"/>
      <w:sz w:val="24"/>
      <w:szCs w:val="24"/>
      <w:lang w:val="en-GB" w:eastAsia="ru-RU"/>
    </w:rPr>
    <w:pPr>
      <w:ind w:left="1304" w:firstLine="539"/>
      <w:spacing w:lineRule="auto" w:line="240" w:after="120"/>
    </w:pPr>
  </w:style>
  <w:style w:type="paragraph" w:styleId="1014">
    <w:name w:val="Цветная заливка - Акцент 1"/>
    <w:next w:val="1014"/>
    <w:link w:val="940"/>
    <w:uiPriority w:val="99"/>
    <w:hidden/>
    <w:semiHidden/>
    <w:rPr>
      <w:rFonts w:ascii="Times New Roman" w:hAnsi="Times New Roman"/>
      <w:sz w:val="24"/>
      <w:szCs w:val="22"/>
      <w:lang w:val="ru-RU" w:bidi="ar-SA" w:eastAsia="en-US"/>
    </w:rPr>
  </w:style>
  <w:style w:type="paragraph" w:styleId="1015">
    <w:name w:val="Default"/>
    <w:next w:val="1015"/>
    <w:link w:val="940"/>
    <w:rPr>
      <w:rFonts w:ascii="Times New Roman" w:hAnsi="Times New Roman"/>
      <w:color w:val="000000"/>
      <w:sz w:val="24"/>
      <w:szCs w:val="24"/>
      <w:lang w:val="ru-RU" w:bidi="ar-SA" w:eastAsia="en-US"/>
    </w:rPr>
  </w:style>
  <w:style w:type="paragraph" w:styleId="1016">
    <w:name w:val="font5"/>
    <w:basedOn w:val="940"/>
    <w:next w:val="1016"/>
    <w:link w:val="940"/>
    <w:rPr>
      <w:rFonts w:cs="Times New Roman" w:eastAsia="Times New Roman"/>
      <w:i/>
      <w:iCs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1017">
    <w:name w:val="xl69"/>
    <w:basedOn w:val="940"/>
    <w:next w:val="1017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18">
    <w:name w:val="xl70"/>
    <w:basedOn w:val="940"/>
    <w:next w:val="1018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19">
    <w:name w:val="xl71"/>
    <w:basedOn w:val="940"/>
    <w:next w:val="1019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20">
    <w:name w:val="xl72"/>
    <w:basedOn w:val="940"/>
    <w:next w:val="1020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1021">
    <w:name w:val="xl73"/>
    <w:basedOn w:val="940"/>
    <w:next w:val="1021"/>
    <w:link w:val="940"/>
    <w:rPr>
      <w:rFonts w:cs="Times New Roman" w:eastAsia="Times New Roman"/>
      <w:i/>
      <w:iCs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1022">
    <w:name w:val="xl74"/>
    <w:basedOn w:val="940"/>
    <w:next w:val="1022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</w:pPr>
  </w:style>
  <w:style w:type="paragraph" w:styleId="1023">
    <w:name w:val="xl75"/>
    <w:basedOn w:val="940"/>
    <w:next w:val="1023"/>
    <w:link w:val="940"/>
    <w:rPr>
      <w:rFonts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1024">
    <w:name w:val="xl76"/>
    <w:basedOn w:val="940"/>
    <w:next w:val="1024"/>
    <w:link w:val="940"/>
    <w:rPr>
      <w:rFonts w:cs="Times New Roman" w:eastAsia="Times New Roman"/>
      <w:i/>
      <w:i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color="000000" w:sz="4" w:space="0"/>
      </w:pBdr>
    </w:pPr>
  </w:style>
  <w:style w:type="paragraph" w:styleId="1025">
    <w:name w:val="xl77"/>
    <w:basedOn w:val="940"/>
    <w:next w:val="1025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color="000000" w:sz="4" w:space="0"/>
      </w:pBdr>
    </w:pPr>
  </w:style>
  <w:style w:type="paragraph" w:styleId="1026">
    <w:name w:val="xl78"/>
    <w:basedOn w:val="940"/>
    <w:next w:val="1026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bottom w:val="single" w:color="000000" w:sz="4" w:space="0"/>
      </w:pBdr>
    </w:pPr>
  </w:style>
  <w:style w:type="paragraph" w:styleId="1027">
    <w:name w:val="xl79"/>
    <w:basedOn w:val="940"/>
    <w:next w:val="1027"/>
    <w:link w:val="940"/>
    <w:rPr>
      <w:rFonts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28">
    <w:name w:val="xl80"/>
    <w:basedOn w:val="940"/>
    <w:next w:val="1028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29">
    <w:name w:val="xl81"/>
    <w:basedOn w:val="940"/>
    <w:next w:val="1029"/>
    <w:link w:val="940"/>
    <w:rPr>
      <w:rFonts w:cs="Times New Roman" w:eastAsia="Times New Roman"/>
      <w:i/>
      <w:i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0">
    <w:name w:val="xl82"/>
    <w:basedOn w:val="940"/>
    <w:next w:val="1030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1">
    <w:name w:val="xl83"/>
    <w:basedOn w:val="940"/>
    <w:next w:val="1031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00"/>
    </w:pPr>
  </w:style>
  <w:style w:type="paragraph" w:styleId="1032">
    <w:name w:val="xl84"/>
    <w:basedOn w:val="940"/>
    <w:next w:val="1032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00"/>
    </w:pPr>
  </w:style>
  <w:style w:type="paragraph" w:styleId="1033">
    <w:name w:val="xl85"/>
    <w:basedOn w:val="940"/>
    <w:next w:val="1033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1034">
    <w:name w:val="xl86"/>
    <w:basedOn w:val="940"/>
    <w:next w:val="1034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1035">
    <w:name w:val="xl87"/>
    <w:basedOn w:val="940"/>
    <w:next w:val="1035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  <w:pBdr>
        <w:bottom w:val="single" w:color="000000" w:sz="4" w:space="0"/>
      </w:pBdr>
    </w:pPr>
  </w:style>
  <w:style w:type="paragraph" w:styleId="1036">
    <w:name w:val="xl88"/>
    <w:basedOn w:val="940"/>
    <w:next w:val="1036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37">
    <w:name w:val="xl89"/>
    <w:basedOn w:val="940"/>
    <w:next w:val="1037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00"/>
      <w:pBdr>
        <w:bottom w:val="single" w:color="000000" w:sz="4" w:space="0"/>
      </w:pBdr>
    </w:pPr>
  </w:style>
  <w:style w:type="paragraph" w:styleId="1038">
    <w:name w:val="xl90"/>
    <w:basedOn w:val="940"/>
    <w:next w:val="1038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39">
    <w:name w:val="xl91"/>
    <w:basedOn w:val="940"/>
    <w:next w:val="1039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0">
    <w:name w:val="xl92"/>
    <w:basedOn w:val="940"/>
    <w:next w:val="1040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1">
    <w:name w:val="xl93"/>
    <w:basedOn w:val="940"/>
    <w:next w:val="1041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2">
    <w:name w:val="xl94"/>
    <w:basedOn w:val="940"/>
    <w:next w:val="1042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1043">
    <w:name w:val="xl95"/>
    <w:basedOn w:val="940"/>
    <w:next w:val="1043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4">
    <w:name w:val="xl96"/>
    <w:basedOn w:val="940"/>
    <w:next w:val="1044"/>
    <w:link w:val="940"/>
    <w:rPr>
      <w:rFonts w:ascii="Arial CYR" w:hAnsi="Arial CYR" w:cs="Arial CYR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45">
    <w:name w:val="xl97"/>
    <w:basedOn w:val="940"/>
    <w:next w:val="1045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00"/>
      <w:pBdr>
        <w:bottom w:val="single" w:color="000000" w:sz="4" w:space="0"/>
      </w:pBdr>
    </w:pPr>
  </w:style>
  <w:style w:type="paragraph" w:styleId="1046">
    <w:name w:val="xl98"/>
    <w:basedOn w:val="940"/>
    <w:next w:val="1046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7">
    <w:name w:val="xl99"/>
    <w:basedOn w:val="940"/>
    <w:next w:val="1047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8">
    <w:name w:val="xl100"/>
    <w:basedOn w:val="940"/>
    <w:next w:val="1048"/>
    <w:link w:val="940"/>
    <w:rPr>
      <w:rFonts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49">
    <w:name w:val="xl101"/>
    <w:basedOn w:val="940"/>
    <w:next w:val="1049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1050">
    <w:name w:val="xl102"/>
    <w:basedOn w:val="940"/>
    <w:next w:val="1050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1051">
    <w:name w:val="xl103"/>
    <w:basedOn w:val="940"/>
    <w:next w:val="1051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  <w:pBdr>
        <w:bottom w:val="single" w:color="000000" w:sz="4" w:space="0"/>
      </w:pBdr>
    </w:pPr>
  </w:style>
  <w:style w:type="paragraph" w:styleId="1052">
    <w:name w:val="xl104"/>
    <w:basedOn w:val="940"/>
    <w:next w:val="1052"/>
    <w:link w:val="940"/>
    <w:rPr>
      <w:rFonts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3">
    <w:name w:val="xl105"/>
    <w:basedOn w:val="940"/>
    <w:next w:val="1053"/>
    <w:link w:val="940"/>
    <w:rPr>
      <w:rFonts w:cs="Times New Roman" w:eastAsia="Times New Roman"/>
      <w:i/>
      <w:i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4">
    <w:name w:val="xl106"/>
    <w:basedOn w:val="940"/>
    <w:next w:val="1054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5">
    <w:name w:val="xl107"/>
    <w:basedOn w:val="940"/>
    <w:next w:val="1055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6">
    <w:name w:val="xl108"/>
    <w:basedOn w:val="940"/>
    <w:next w:val="1056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7">
    <w:name w:val="xl109"/>
    <w:basedOn w:val="940"/>
    <w:next w:val="1057"/>
    <w:link w:val="940"/>
    <w:rPr>
      <w:rFonts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58">
    <w:name w:val="xl110"/>
    <w:basedOn w:val="940"/>
    <w:next w:val="1058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</w:pPr>
  </w:style>
  <w:style w:type="paragraph" w:styleId="1059">
    <w:name w:val="xl111"/>
    <w:basedOn w:val="940"/>
    <w:next w:val="1059"/>
    <w:link w:val="940"/>
    <w:rPr>
      <w:rFonts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</w:pPr>
  </w:style>
  <w:style w:type="paragraph" w:styleId="1060">
    <w:name w:val="xl112"/>
    <w:basedOn w:val="940"/>
    <w:next w:val="1060"/>
    <w:link w:val="940"/>
    <w:rPr>
      <w:rFonts w:ascii="Arial CYR" w:hAnsi="Arial CYR" w:cs="Arial CYR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</w:pPr>
  </w:style>
  <w:style w:type="paragraph" w:styleId="1061">
    <w:name w:val="xl113"/>
    <w:basedOn w:val="940"/>
    <w:next w:val="1061"/>
    <w:link w:val="940"/>
    <w:rPr>
      <w:rFonts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2">
    <w:name w:val="xl114"/>
    <w:basedOn w:val="940"/>
    <w:next w:val="1062"/>
    <w:link w:val="940"/>
    <w:rPr>
      <w:rFonts w:ascii="Arial CYR" w:hAnsi="Arial CYR" w:cs="Arial CYR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3">
    <w:name w:val="xl115"/>
    <w:basedOn w:val="940"/>
    <w:next w:val="1063"/>
    <w:link w:val="940"/>
    <w:rPr>
      <w:rFonts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4">
    <w:name w:val="xl116"/>
    <w:basedOn w:val="940"/>
    <w:next w:val="1064"/>
    <w:link w:val="940"/>
    <w:rPr>
      <w:rFonts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5">
    <w:name w:val="xl117"/>
    <w:basedOn w:val="940"/>
    <w:next w:val="1065"/>
    <w:link w:val="940"/>
    <w:rPr>
      <w:rFonts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6">
    <w:name w:val="xl118"/>
    <w:basedOn w:val="940"/>
    <w:next w:val="1066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7">
    <w:name w:val="xl119"/>
    <w:basedOn w:val="940"/>
    <w:next w:val="1067"/>
    <w:link w:val="940"/>
    <w:rPr>
      <w:rFonts w:ascii="Arial CYR" w:hAnsi="Arial CYR" w:cs="Arial CYR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68">
    <w:name w:val="xl120"/>
    <w:basedOn w:val="940"/>
    <w:next w:val="1068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1069">
    <w:name w:val="xl121"/>
    <w:basedOn w:val="940"/>
    <w:next w:val="1069"/>
    <w:link w:val="940"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1070">
    <w:name w:val="Стиль1 IPM2"/>
    <w:basedOn w:val="940"/>
    <w:next w:val="1070"/>
    <w:link w:val="1071"/>
    <w:qFormat/>
    <w:rPr>
      <w:rFonts w:cs="Times New Roman"/>
      <w:color w:val="4F81BD"/>
      <w:sz w:val="24"/>
      <w:szCs w:val="24"/>
      <w:lang w:eastAsia="ru-RU"/>
    </w:rPr>
    <w:pPr>
      <w:numPr>
        <w:ilvl w:val="0"/>
        <w:numId w:val="17"/>
      </w:numPr>
      <w:spacing w:lineRule="auto" w:line="240"/>
    </w:pPr>
  </w:style>
  <w:style w:type="character" w:styleId="1071">
    <w:name w:val="Стиль1 IPM2 Знак"/>
    <w:next w:val="1071"/>
    <w:link w:val="1070"/>
    <w:rPr>
      <w:rFonts w:ascii="Times New Roman" w:hAnsi="Times New Roman"/>
      <w:color w:val="4F81BD"/>
      <w:sz w:val="24"/>
      <w:szCs w:val="24"/>
    </w:rPr>
  </w:style>
  <w:style w:type="character" w:styleId="1072">
    <w:name w:val="Строгий"/>
    <w:next w:val="1072"/>
    <w:link w:val="940"/>
    <w:qFormat/>
    <w:uiPriority w:val="22"/>
    <w:rPr>
      <w:b/>
      <w:bCs/>
    </w:rPr>
  </w:style>
  <w:style w:type="character" w:styleId="1073">
    <w:name w:val="Заголовок 5 Знак"/>
    <w:next w:val="1073"/>
    <w:link w:val="945"/>
    <w:uiPriority w:val="9"/>
    <w:semiHidden/>
    <w:rPr>
      <w:rFonts w:ascii="Cambria" w:hAnsi="Cambria" w:cs="Times New Roman" w:eastAsia="Times New Roman"/>
      <w:color w:val="243F60"/>
      <w:sz w:val="24"/>
    </w:rPr>
  </w:style>
  <w:style w:type="paragraph" w:styleId="1074">
    <w:name w:val="Основной текст с отступом 2"/>
    <w:basedOn w:val="940"/>
    <w:next w:val="1074"/>
    <w:link w:val="1075"/>
    <w:uiPriority w:val="99"/>
    <w:unhideWhenUsed/>
    <w:pPr>
      <w:ind w:left="283"/>
      <w:spacing w:lineRule="auto" w:line="480" w:after="120"/>
    </w:pPr>
  </w:style>
  <w:style w:type="character" w:styleId="1075">
    <w:name w:val="Основной текст с отступом 2 Знак"/>
    <w:next w:val="1075"/>
    <w:link w:val="1074"/>
    <w:uiPriority w:val="99"/>
    <w:rPr>
      <w:rFonts w:ascii="Times New Roman" w:hAnsi="Times New Roman"/>
      <w:sz w:val="24"/>
    </w:rPr>
  </w:style>
  <w:style w:type="character" w:styleId="1076">
    <w:name w:val="Номер страницы"/>
    <w:basedOn w:val="947"/>
    <w:next w:val="1076"/>
    <w:link w:val="940"/>
    <w:semiHidden/>
  </w:style>
  <w:style w:type="character" w:styleId="1077">
    <w:name w:val="Заголовок 4 Знак"/>
    <w:next w:val="1077"/>
    <w:link w:val="944"/>
    <w:uiPriority w:val="9"/>
    <w:semiHidden/>
    <w:rPr>
      <w:rFonts w:ascii="Cambria" w:hAnsi="Cambria" w:cs="Times New Roman" w:eastAsia="Times New Roman"/>
      <w:b/>
      <w:bCs/>
      <w:i/>
      <w:iCs/>
      <w:color w:val="4F81BD"/>
      <w:sz w:val="24"/>
    </w:rPr>
  </w:style>
  <w:style w:type="paragraph" w:styleId="1078">
    <w:name w:val="Обычный (веб)"/>
    <w:basedOn w:val="940"/>
    <w:next w:val="1078"/>
    <w:link w:val="940"/>
    <w:uiPriority w:val="99"/>
    <w:rPr>
      <w:rFonts w:cs="Times New Roman" w:eastAsia="Times New Roman"/>
      <w:sz w:val="24"/>
      <w:szCs w:val="24"/>
      <w:lang w:eastAsia="ru-RU"/>
    </w:rPr>
    <w:pPr>
      <w:jc w:val="left"/>
      <w:spacing w:lineRule="auto" w:line="240" w:after="100" w:afterAutospacing="1" w:before="100" w:beforeAutospacing="1"/>
    </w:pPr>
  </w:style>
  <w:style w:type="character" w:styleId="1079">
    <w:name w:val="Заголовок 2 Знак1"/>
    <w:next w:val="1079"/>
    <w:link w:val="940"/>
    <w:uiPriority w:val="9"/>
    <w:semiHidden/>
    <w:rPr>
      <w:rFonts w:ascii="Times New Roman" w:hAnsi="Times New Roman" w:cs="Times New Roman" w:eastAsia="Times New Roman"/>
      <w:b/>
      <w:bCs/>
      <w:sz w:val="26"/>
      <w:szCs w:val="26"/>
    </w:rPr>
  </w:style>
  <w:style w:type="character" w:styleId="1080">
    <w:name w:val="Заголовок 2 Знак2"/>
    <w:next w:val="1080"/>
    <w:link w:val="942"/>
    <w:uiPriority w:val="9"/>
    <w:rPr>
      <w:rFonts w:ascii="Times New Roman" w:hAnsi="Times New Roman" w:cs="Times New Roman" w:eastAsia="Times New Roman"/>
      <w:b/>
      <w:bCs/>
      <w:sz w:val="26"/>
      <w:szCs w:val="26"/>
    </w:rPr>
  </w:style>
  <w:style w:type="character" w:styleId="1081">
    <w:name w:val="Font Style47"/>
    <w:next w:val="1081"/>
    <w:link w:val="940"/>
    <w:uiPriority w:val="99"/>
    <w:rPr>
      <w:rFonts w:ascii="Arial" w:hAnsi="Arial" w:cs="Arial"/>
      <w:sz w:val="18"/>
      <w:szCs w:val="18"/>
    </w:rPr>
  </w:style>
  <w:style w:type="character" w:styleId="1082">
    <w:name w:val="Заголовок 3 Знак"/>
    <w:next w:val="1082"/>
    <w:link w:val="943"/>
    <w:uiPriority w:val="9"/>
    <w:rPr>
      <w:rFonts w:ascii="Times New Roman" w:hAnsi="Times New Roman" w:cs="Times New Roman" w:eastAsia="Times New Roman"/>
      <w:b/>
      <w:bCs/>
      <w:sz w:val="26"/>
    </w:rPr>
  </w:style>
  <w:style w:type="paragraph" w:styleId="1083">
    <w:name w:val="Пункт_2"/>
    <w:basedOn w:val="940"/>
    <w:next w:val="1083"/>
    <w:link w:val="940"/>
    <w:rPr>
      <w:rFonts w:cs="Times New Roman" w:eastAsia="Times New Roman"/>
      <w:sz w:val="28"/>
      <w:szCs w:val="20"/>
      <w:lang w:eastAsia="ru-RU"/>
    </w:rPr>
    <w:pPr>
      <w:numPr>
        <w:ilvl w:val="1"/>
        <w:numId w:val="24"/>
      </w:numPr>
      <w:spacing w:lineRule="auto" w:line="360"/>
    </w:pPr>
  </w:style>
  <w:style w:type="paragraph" w:styleId="1084">
    <w:name w:val="Пункт_3"/>
    <w:basedOn w:val="1083"/>
    <w:next w:val="1084"/>
    <w:link w:val="940"/>
    <w:pPr>
      <w:numPr>
        <w:ilvl w:val="2"/>
        <w:numId w:val="24"/>
      </w:numPr>
    </w:pPr>
  </w:style>
  <w:style w:type="paragraph" w:styleId="1085">
    <w:name w:val="Пункт_4"/>
    <w:basedOn w:val="1084"/>
    <w:next w:val="1085"/>
    <w:link w:val="940"/>
    <w:pPr>
      <w:numPr>
        <w:ilvl w:val="3"/>
        <w:numId w:val="24"/>
      </w:numPr>
    </w:pPr>
  </w:style>
  <w:style w:type="paragraph" w:styleId="1086">
    <w:name w:val="Пункт_5_ABCD"/>
    <w:basedOn w:val="940"/>
    <w:next w:val="1086"/>
    <w:link w:val="940"/>
    <w:rPr>
      <w:rFonts w:cs="Times New Roman" w:eastAsia="Times New Roman"/>
      <w:sz w:val="28"/>
      <w:szCs w:val="20"/>
      <w:lang w:eastAsia="ru-RU"/>
    </w:rPr>
    <w:pPr>
      <w:numPr>
        <w:ilvl w:val="4"/>
        <w:numId w:val="24"/>
      </w:numPr>
      <w:spacing w:lineRule="auto" w:line="360"/>
    </w:pPr>
  </w:style>
  <w:style w:type="paragraph" w:styleId="1087">
    <w:name w:val="Пункт_1"/>
    <w:basedOn w:val="940"/>
    <w:next w:val="1087"/>
    <w:link w:val="940"/>
    <w:rPr>
      <w:rFonts w:ascii="Arial" w:hAnsi="Arial" w:cs="Times New Roman" w:eastAsia="Times New Roman"/>
      <w:b/>
      <w:sz w:val="32"/>
      <w:szCs w:val="28"/>
      <w:lang w:eastAsia="ru-RU"/>
    </w:rPr>
    <w:pPr>
      <w:numPr>
        <w:ilvl w:val="0"/>
        <w:numId w:val="24"/>
      </w:numPr>
      <w:ind w:left="567" w:hanging="567"/>
      <w:jc w:val="center"/>
      <w:keepNext/>
      <w:spacing w:lineRule="auto" w:line="240" w:after="240" w:before="480"/>
      <w:outlineLvl w:val="0"/>
    </w:pPr>
  </w:style>
  <w:style w:type="numbering" w:styleId="1088">
    <w:name w:val="Стиль8"/>
    <w:next w:val="1088"/>
    <w:link w:val="940"/>
    <w:uiPriority w:val="99"/>
    <w:pPr>
      <w:numPr>
        <w:ilvl w:val="0"/>
        <w:numId w:val="25"/>
      </w:numPr>
    </w:pPr>
  </w:style>
  <w:style w:type="numbering" w:styleId="1089">
    <w:name w:val="Стиль9"/>
    <w:next w:val="1089"/>
    <w:link w:val="940"/>
    <w:uiPriority w:val="99"/>
    <w:pPr>
      <w:numPr>
        <w:ilvl w:val="0"/>
        <w:numId w:val="26"/>
      </w:numPr>
    </w:pPr>
  </w:style>
  <w:style w:type="numbering" w:styleId="1090">
    <w:name w:val="Стиль10"/>
    <w:next w:val="1090"/>
    <w:link w:val="940"/>
    <w:uiPriority w:val="99"/>
    <w:pPr>
      <w:numPr>
        <w:ilvl w:val="0"/>
        <w:numId w:val="27"/>
      </w:numPr>
    </w:pPr>
  </w:style>
  <w:style w:type="numbering" w:styleId="1091">
    <w:name w:val="Стиль11"/>
    <w:next w:val="1091"/>
    <w:link w:val="940"/>
    <w:uiPriority w:val="99"/>
    <w:pPr>
      <w:numPr>
        <w:ilvl w:val="0"/>
        <w:numId w:val="29"/>
      </w:numPr>
    </w:pPr>
  </w:style>
  <w:style w:type="paragraph" w:styleId="1092">
    <w:name w:val="ConsPlusNormal"/>
    <w:next w:val="1092"/>
    <w:link w:val="940"/>
    <w:rPr>
      <w:rFonts w:ascii="Arial" w:hAnsi="Arial" w:cs="Arial" w:eastAsia="Times New Roman"/>
      <w:lang w:val="ru-RU" w:bidi="ar-SA" w:eastAsia="ru-RU"/>
    </w:rPr>
    <w:pPr>
      <w:widowControl w:val="off"/>
    </w:pPr>
  </w:style>
  <w:style w:type="paragraph" w:styleId="1093">
    <w:name w:val="Средняя сетка 2"/>
    <w:next w:val="1093"/>
    <w:link w:val="940"/>
    <w:qFormat/>
    <w:uiPriority w:val="1"/>
    <w:rPr>
      <w:rFonts w:ascii="Times New Roman" w:hAnsi="Times New Roman"/>
      <w:sz w:val="24"/>
      <w:szCs w:val="22"/>
      <w:lang w:val="ru-RU" w:bidi="ar-SA" w:eastAsia="en-US"/>
    </w:rPr>
    <w:pPr>
      <w:jc w:val="both"/>
    </w:pPr>
  </w:style>
  <w:style w:type="character" w:styleId="1094" w:default="1">
    <w:name w:val="Default Paragraph Font"/>
    <w:uiPriority w:val="1"/>
    <w:semiHidden/>
    <w:unhideWhenUsed/>
  </w:style>
  <w:style w:type="numbering" w:styleId="1095" w:default="1">
    <w:name w:val="No List"/>
    <w:uiPriority w:val="99"/>
    <w:semiHidden/>
    <w:unhideWhenUsed/>
  </w:style>
  <w:style w:type="table" w:styleId="1096" w:default="1">
    <w:name w:val="Normal Table"/>
    <w:uiPriority w:val="99"/>
    <w:semiHidden/>
    <w:unhideWhenUsed/>
    <w:tblPr/>
  </w:style>
  <w:style w:type="paragraph" w:styleId="1097" w:customStyle="1">
    <w:name w:val="Основной текст (2)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000000"/>
      <w:spacing w:val="0"/>
      <w:position w:val="0"/>
      <w:sz w:val="26"/>
      <w:szCs w:val="26"/>
      <w:highlight w:val="none"/>
      <w:u w:val="none"/>
      <w:vertAlign w:val="baseline"/>
      <w:rtl w:val="false"/>
      <w:cs w:val="false"/>
      <w:lang w:val="ru-RU" w:bidi="ru-RU" w:eastAsia="ru-RU"/>
    </w:rPr>
    <w:pPr>
      <w:contextualSpacing w:val="false"/>
      <w:ind w:left="0" w:right="0" w:hanging="1300"/>
      <w:jc w:val="both"/>
      <w:keepLines w:val="false"/>
      <w:keepNext w:val="false"/>
      <w:pageBreakBefore w:val="false"/>
      <w:spacing w:lineRule="exact" w:line="350" w:after="160" w:afterAutospacing="0" w:before="640" w:beforeAutospacing="0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fgiscs.minstroyrf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Hewlett-Packard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Кузмищева Ирина Владимировна Кузмищева</cp:lastModifiedBy>
  <cp:revision>22</cp:revision>
  <dcterms:created xsi:type="dcterms:W3CDTF">2023-02-21T22:12:00Z</dcterms:created>
  <dcterms:modified xsi:type="dcterms:W3CDTF">2025-02-05T22:51:05Z</dcterms:modified>
  <cp:version>1048576</cp:version>
</cp:coreProperties>
</file>